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bookmarkStart w:id="0" w:name="_GoBack"/>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4月8</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rPr>
          <w:color w:val="auto"/>
        </w:rPr>
      </w:pPr>
    </w:p>
    <w:p>
      <w:pPr>
        <w:rPr>
          <w:rFonts w:hint="eastAsia"/>
          <w:color w:val="auto"/>
        </w:rPr>
      </w:pPr>
      <w:r>
        <w:rPr>
          <w:rFonts w:hint="eastAsia"/>
          <w:color w:val="auto"/>
        </w:rPr>
        <w:t>【国际宏观基本面信息】</w:t>
      </w:r>
    </w:p>
    <w:p>
      <w:pPr>
        <w:rPr>
          <w:rFonts w:hint="eastAsia"/>
          <w:color w:val="auto"/>
        </w:rPr>
      </w:pPr>
      <w:r>
        <w:rPr>
          <w:rFonts w:hint="eastAsia"/>
          <w:color w:val="auto"/>
        </w:rPr>
        <w:t>1  美国4月2日当周首次申请失业救济人数 16.6万人，预期 20万人，前值 20.2万人。</w:t>
      </w:r>
    </w:p>
    <w:p>
      <w:pPr>
        <w:rPr>
          <w:rFonts w:hint="eastAsia"/>
          <w:color w:val="auto"/>
        </w:rPr>
      </w:pPr>
      <w:r>
        <w:rPr>
          <w:rFonts w:hint="eastAsia"/>
          <w:color w:val="auto"/>
        </w:rPr>
        <w:t>2  欧盟内部没能在是否禁止从俄罗斯进口煤炭等问题上达成一致，欧盟委员会提出的对俄新一轮制裁未获通过。</w:t>
      </w:r>
    </w:p>
    <w:p>
      <w:pPr>
        <w:rPr>
          <w:rFonts w:hint="eastAsia"/>
          <w:color w:val="auto"/>
        </w:rPr>
      </w:pPr>
      <w:r>
        <w:rPr>
          <w:rFonts w:hint="eastAsia"/>
          <w:color w:val="auto"/>
        </w:rPr>
        <w:t>3  欧央行3月货币政策会议纪要显示，当前的高通胀水平及其持续存在要求立即采取进一步措施使货币政策正常化 ，资产购买计划在夏季结束可以为第三季度的加息铺平道路。</w:t>
      </w:r>
    </w:p>
    <w:p>
      <w:pPr>
        <w:rPr>
          <w:rFonts w:hint="eastAsia"/>
          <w:color w:val="auto"/>
        </w:rPr>
      </w:pPr>
    </w:p>
    <w:p>
      <w:pPr>
        <w:rPr>
          <w:rFonts w:hint="eastAsia"/>
          <w:color w:val="auto"/>
        </w:rPr>
      </w:pPr>
      <w:r>
        <w:rPr>
          <w:rFonts w:hint="eastAsia"/>
          <w:color w:val="auto"/>
        </w:rPr>
        <w:t>【国内宏观基本面信息】</w:t>
      </w:r>
    </w:p>
    <w:p>
      <w:pPr>
        <w:rPr>
          <w:rFonts w:hint="eastAsia"/>
          <w:color w:val="auto"/>
        </w:rPr>
      </w:pPr>
      <w:r>
        <w:rPr>
          <w:rFonts w:hint="eastAsia"/>
          <w:color w:val="auto"/>
        </w:rPr>
        <w:t>1  中国央行：要实现绿色金融与转型金融的有序有效衔接，形成具有可操作性的政策举措</w:t>
      </w:r>
    </w:p>
    <w:p>
      <w:pPr>
        <w:rPr>
          <w:rFonts w:hint="eastAsia"/>
          <w:color w:val="auto"/>
        </w:rPr>
      </w:pPr>
      <w:r>
        <w:rPr>
          <w:rFonts w:hint="eastAsia"/>
          <w:color w:val="auto"/>
        </w:rPr>
        <w:t>2  工信部等六部门指出，要发挥碳固定碳消纳优势，协同推进产业链碳减排。有序推动石化化工行业重点领域节能降碳，提高行业能效水平。</w:t>
      </w:r>
    </w:p>
    <w:p>
      <w:pPr>
        <w:rPr>
          <w:rFonts w:hint="eastAsia"/>
          <w:color w:val="auto"/>
        </w:rPr>
      </w:pPr>
    </w:p>
    <w:p>
      <w:pPr>
        <w:rPr>
          <w:rFonts w:hint="eastAsia"/>
          <w:color w:val="auto"/>
        </w:rPr>
      </w:pPr>
      <w:r>
        <w:rPr>
          <w:rFonts w:hint="eastAsia"/>
          <w:color w:val="auto"/>
        </w:rPr>
        <w:t>【当日重要经济数据】</w:t>
      </w:r>
    </w:p>
    <w:p>
      <w:pPr>
        <w:rPr>
          <w:rFonts w:hint="eastAsia"/>
          <w:color w:val="auto"/>
        </w:rPr>
      </w:pPr>
      <w:r>
        <w:rPr>
          <w:rFonts w:hint="eastAsia"/>
          <w:color w:val="auto"/>
        </w:rPr>
        <w:t>22:00</w:t>
      </w:r>
      <w:r>
        <w:rPr>
          <w:rFonts w:hint="eastAsia"/>
          <w:color w:val="auto"/>
        </w:rPr>
        <w:tab/>
      </w:r>
      <w:r>
        <w:rPr>
          <w:rFonts w:hint="eastAsia"/>
          <w:color w:val="auto"/>
        </w:rPr>
        <w:t>美国2月批发库存月率终值(%)</w:t>
      </w:r>
      <w:r>
        <w:rPr>
          <w:rFonts w:hint="eastAsia"/>
          <w:color w:val="auto"/>
        </w:rPr>
        <w:tab/>
      </w:r>
      <w:r>
        <w:rPr>
          <w:rFonts w:hint="eastAsia"/>
          <w:color w:val="auto"/>
        </w:rPr>
        <w:t>2.1</w:t>
      </w:r>
      <w:r>
        <w:rPr>
          <w:rFonts w:hint="eastAsia"/>
          <w:color w:val="auto"/>
        </w:rPr>
        <w:tab/>
      </w:r>
      <w:r>
        <w:rPr>
          <w:rFonts w:hint="eastAsia"/>
          <w:color w:val="auto"/>
        </w:rPr>
        <w:t>0.8</w:t>
      </w:r>
    </w:p>
    <w:p>
      <w:pPr>
        <w:rPr>
          <w:rFonts w:hint="eastAsia"/>
          <w:color w:val="auto"/>
        </w:rPr>
      </w:pPr>
      <w:r>
        <w:rPr>
          <w:rFonts w:hint="eastAsia"/>
          <w:color w:val="auto"/>
        </w:rPr>
        <w:t>可能公布（0408-0415）</w:t>
      </w:r>
    </w:p>
    <w:p>
      <w:pPr>
        <w:rPr>
          <w:rFonts w:hint="eastAsia"/>
          <w:color w:val="auto"/>
        </w:rPr>
      </w:pPr>
      <w:r>
        <w:rPr>
          <w:rFonts w:hint="eastAsia"/>
          <w:color w:val="auto"/>
        </w:rPr>
        <w:t>09:00</w:t>
      </w:r>
      <w:r>
        <w:rPr>
          <w:rFonts w:hint="eastAsia"/>
          <w:color w:val="auto"/>
        </w:rPr>
        <w:tab/>
      </w:r>
      <w:r>
        <w:rPr>
          <w:rFonts w:hint="eastAsia"/>
          <w:color w:val="auto"/>
        </w:rPr>
        <w:t>中国3月社会融资规模-单月(亿人民币)</w:t>
      </w:r>
      <w:r>
        <w:rPr>
          <w:rFonts w:hint="eastAsia"/>
          <w:color w:val="auto"/>
        </w:rPr>
        <w:tab/>
      </w:r>
      <w:r>
        <w:rPr>
          <w:rFonts w:hint="eastAsia"/>
          <w:color w:val="auto"/>
        </w:rPr>
        <w:t>11900</w:t>
      </w:r>
      <w:r>
        <w:rPr>
          <w:rFonts w:hint="eastAsia"/>
          <w:color w:val="auto"/>
        </w:rPr>
        <w:tab/>
      </w:r>
    </w:p>
    <w:p>
      <w:pPr>
        <w:rPr>
          <w:rFonts w:hint="eastAsia"/>
          <w:color w:val="auto"/>
        </w:rPr>
      </w:pPr>
      <w:r>
        <w:rPr>
          <w:rFonts w:hint="eastAsia"/>
          <w:color w:val="auto"/>
        </w:rPr>
        <w:t>中国3月M2货币供应年率(%)</w:t>
      </w:r>
      <w:r>
        <w:rPr>
          <w:rFonts w:hint="eastAsia"/>
          <w:color w:val="auto"/>
        </w:rPr>
        <w:tab/>
      </w:r>
      <w:r>
        <w:rPr>
          <w:rFonts w:hint="eastAsia"/>
          <w:color w:val="auto"/>
        </w:rPr>
        <w:t>9.2</w:t>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中国3月M1货币供应年率(%)</w:t>
      </w:r>
      <w:r>
        <w:rPr>
          <w:rFonts w:hint="eastAsia"/>
          <w:color w:val="auto"/>
        </w:rPr>
        <w:tab/>
      </w:r>
      <w:r>
        <w:rPr>
          <w:rFonts w:hint="eastAsia"/>
          <w:color w:val="auto"/>
        </w:rPr>
        <w:t>4.7</w:t>
      </w:r>
      <w:r>
        <w:rPr>
          <w:rFonts w:hint="eastAsia"/>
          <w:color w:val="auto"/>
        </w:rPr>
        <w:tab/>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中国3月M0货币供应年率(%)</w:t>
      </w:r>
      <w:r>
        <w:rPr>
          <w:rFonts w:hint="eastAsia"/>
          <w:color w:val="auto"/>
        </w:rPr>
        <w:tab/>
      </w:r>
      <w:r>
        <w:rPr>
          <w:rFonts w:hint="eastAsia"/>
          <w:color w:val="auto"/>
        </w:rPr>
        <w:t>5.8</w:t>
      </w:r>
      <w:r>
        <w:rPr>
          <w:rFonts w:hint="eastAsia"/>
          <w:color w:val="auto"/>
        </w:rPr>
        <w:tab/>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中国3月新增人民币贷款(亿人民币)</w:t>
      </w:r>
      <w:r>
        <w:rPr>
          <w:rFonts w:hint="eastAsia"/>
          <w:color w:val="auto"/>
        </w:rPr>
        <w:tab/>
      </w:r>
      <w:r>
        <w:rPr>
          <w:rFonts w:hint="eastAsia"/>
          <w:color w:val="auto"/>
        </w:rPr>
        <w:t>1230</w:t>
      </w:r>
    </w:p>
    <w:p>
      <w:pPr>
        <w:rPr>
          <w:rFonts w:hint="eastAsia"/>
          <w:color w:val="auto"/>
        </w:rPr>
      </w:pPr>
    </w:p>
    <w:p>
      <w:pPr>
        <w:rPr>
          <w:rFonts w:hint="eastAsia"/>
          <w:color w:val="auto"/>
        </w:rPr>
      </w:pPr>
      <w:r>
        <w:rPr>
          <w:rFonts w:hint="eastAsia"/>
          <w:color w:val="auto"/>
        </w:rPr>
        <w:t>【证券指数思路】</w:t>
      </w:r>
    </w:p>
    <w:p>
      <w:pPr>
        <w:rPr>
          <w:rFonts w:hint="eastAsia"/>
          <w:color w:val="auto"/>
        </w:rPr>
      </w:pPr>
      <w:r>
        <w:rPr>
          <w:rFonts w:hint="eastAsia"/>
          <w:color w:val="auto"/>
        </w:rPr>
        <w:t xml:space="preserve">        三大指数于盘初短暂反弹后指数震荡下挫，创业板指跌超1.5%；午后A股跌幅进一步扩大，沪指跌超1%，创业板指跌逾2%。截至收盘，沪指跌1.42%，报3236.7点，深成指跌1.65%，报11972.02点，创业板指跌2.1%，报2578.53点。沪深两市合计成交额9229.7亿元；北向资金实际净卖出6.08亿元，市场整体仍处于震荡筑底的过程。继续在震荡小箱体中运行，拉锯行情依旧，谨慎日内短线思路没有改变，暂时不参与长线。</w:t>
      </w:r>
    </w:p>
    <w:p>
      <w:pPr>
        <w:rPr>
          <w:rFonts w:hint="eastAsia"/>
          <w:color w:val="auto"/>
          <w:lang w:eastAsia="zh-CN"/>
        </w:rPr>
      </w:pPr>
    </w:p>
    <w:p>
      <w:pPr>
        <w:rPr>
          <w:rFonts w:hint="eastAsia"/>
          <w:color w:val="auto"/>
          <w:lang w:eastAsia="zh-CN"/>
        </w:rPr>
      </w:pPr>
    </w:p>
    <w:p>
      <w:pPr>
        <w:rPr>
          <w:rFonts w:hint="eastAsia"/>
          <w:color w:val="auto"/>
          <w:lang w:eastAsia="zh-CN"/>
        </w:rPr>
      </w:pPr>
    </w:p>
    <w:p>
      <w:pPr>
        <w:rPr>
          <w:rFonts w:hint="eastAsia"/>
          <w:color w:val="auto"/>
          <w:lang w:eastAsia="zh-CN"/>
        </w:rPr>
      </w:pPr>
    </w:p>
    <w:p>
      <w:pPr>
        <w:rPr>
          <w:rFonts w:hint="eastAsia"/>
          <w:color w:val="auto"/>
          <w:lang w:eastAsia="zh-CN"/>
        </w:rPr>
      </w:pPr>
    </w:p>
    <w:p>
      <w:pPr>
        <w:rPr>
          <w:rFonts w:hint="eastAsia"/>
          <w:color w:val="auto"/>
          <w:lang w:eastAsia="zh-CN"/>
        </w:rPr>
      </w:pPr>
    </w:p>
    <w:p>
      <w:pPr>
        <w:rPr>
          <w:rFonts w:hint="eastAsia"/>
          <w:color w:val="auto"/>
          <w:lang w:eastAsia="zh-CN"/>
        </w:rPr>
      </w:pPr>
    </w:p>
    <w:p>
      <w:pPr>
        <w:rPr>
          <w:rFonts w:hint="eastAsia"/>
          <w:color w:val="auto"/>
          <w:lang w:eastAsia="zh-CN"/>
        </w:rPr>
      </w:pPr>
    </w:p>
    <w:p>
      <w:pPr>
        <w:rPr>
          <w:rFonts w:ascii="宋体" w:hAnsi="宋体" w:cs="宋体"/>
          <w:color w:val="auto"/>
          <w:kern w:val="0"/>
          <w:szCs w:val="21"/>
          <w:lang w:eastAsia="zh-CN"/>
        </w:rPr>
      </w:pPr>
    </w:p>
    <w:p>
      <w:pP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center"/>
        <w:rPr>
          <w:rFonts w:ascii="黑体" w:eastAsia="黑体" w:cs="宋体"/>
          <w:color w:val="auto"/>
          <w:szCs w:val="21"/>
        </w:rPr>
      </w:pPr>
    </w:p>
    <w:p>
      <w:pPr>
        <w:jc w:val="center"/>
        <w:rPr>
          <w:rFonts w:ascii="黑体" w:eastAsia="黑体" w:cs="宋体"/>
          <w:color w:val="auto"/>
          <w:szCs w:val="21"/>
        </w:rPr>
      </w:pPr>
    </w:p>
    <w:p>
      <w:pPr>
        <w:jc w:val="center"/>
        <w:rPr>
          <w:rFonts w:ascii="黑体" w:eastAsia="黑体" w:cs="宋体"/>
          <w:color w:val="auto"/>
          <w:szCs w:val="21"/>
        </w:rPr>
      </w:pPr>
    </w:p>
    <w:p>
      <w:pPr>
        <w:jc w:val="center"/>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32"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eastAsia" w:eastAsia="宋体"/>
                <w:color w:val="auto"/>
                <w:lang w:val="en-US" w:eastAsia="zh-CN"/>
              </w:rPr>
            </w:pPr>
            <w:r>
              <w:rPr>
                <w:rFonts w:hint="eastAsia"/>
                <w:color w:val="auto"/>
              </w:rPr>
              <w:t>隔夜外围美元收涨于99.76部位；人民币离岸价略贬于6.360。欧美股市美强欧弱。投资者继续消化美联储发出的鹰派信号。NYMEX5月原油下跌0.20美元，结算价报每桶96.03美元。因欧元区能否有效制裁俄罗斯的能源出口存在不确定性，且消费国宣布从紧急储备中大规模释放石油。人们还担心疫情封控措施将减缓石油需求的复苏。芝加哥(CBOT)大豆持坚，受助于南美产量预估下调和美国出口销售持稳。CBOT5月大豆上涨26美分，结算价报每蒲式耳16.45-1/2美元。CBOT 5月豆粕下跌1.60美元，结算价报每短吨460.20美元。CBOT 5月豆油收高1.19美分，结算价报每磅73.02美分。巴西国家商品供应公司周四将巴西2021/22年度大豆产量预估从上一次调查的1.25471亿吨下修至1.22431亿吨，2020/2021年度产量预估为1.38153亿吨。Conab将巴西2021/22年度大豆出口预估从8,010万吨下修至7,700万吨；维持进口预估在90万吨不变。美国农业部在下调巴西大豆产量方面比较保守，但预计在周五的全球农作物供需报告中将调降对巴西大豆产量的预估。Ag Hedgers公司总裁Jeff French表示：“我们要看看明天美国农业部的供需报告会不会更加激进一些，会不会下修巴西大豆产量前景。”此外，美国农业部周四公布的出口销售报告显示，3月31日止当周，美国2021/2022市场年度大豆出口销售净增80.07万吨，较之前一周下滑39%，较前四周均值下滑38%，市场预估为净增50-115万吨。当周，美国2022/2023市场年度大豆出口销售净增29.85万吨，市场预估为净增10-40万吨。Agrivisor的商品风险分析师Karl Setzer表示：“我们继续看到一点需求，但并不像我们想象的那样。这有点限制了价格的涨势。”农业咨询机构Datagro周四公布的数据显示，截至4月1日，巴西2021/2022年度大豆作物销售量达到预计产量的55%，较过去几周步伐大幅提高，但低于去年同期71.5%的水平。布宜诺斯艾利斯谷物交易所周四报告，由于上周农作物产区霜冻的影响，阿根廷2021/22年度大豆产量可能低于目前预测的4,200万吨。此前交易所已经对产量预估进行了调降，但当时是由于年初重要作物产区遭遇干旱和热浪。交易所在周度报告中称：“在3月底报告出现霜降后，过去七天出现了新一轮霜降天气。”</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框架如前，美豆未脱高位区间波动。之前因预期本季播种面积增加的跌幅在今夜4月数据报告前有所收窄。大连盘预计被动跟随。9月油粕比在2.70；粕5－9逆差在90点。粕9日内看3850－3900的波动，宜灵活。</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auto"/>
                <w:lang w:eastAsia="zh-CN"/>
              </w:rPr>
              <w:t>（</w:t>
            </w:r>
            <w:r>
              <w:rPr>
                <w:rFonts w:hint="eastAsia"/>
                <w:b/>
                <w:color w:val="auto"/>
                <w:lang w:eastAsia="zh-CN"/>
              </w:rPr>
              <w:t>农产品部）</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隔夜美棉整体收跌，5月合约最新价格在133美分。郑棉弱势运行，5月合约最新价格在21600元附近。截止4月1日，oncall未销售合约量14.5万张，减少1978张。美棉装运数据虽有所好转再创年内单周新高，但签约出口数据创下年内新低，并有大量取消签约。具体来看，3.25-3.31日一周美国2021/22年度陆地棉净签约14265吨（含签约28690吨，取消前期签约14425吨），较前一周骤减73%，较近四周平均减少80%；装运2021/22 年度陆地棉103306吨，较前一周大增38%，较近四周平均增加28%。巴西国内现货报价已经突破150美分/磅一线，至4日高达155.7美分/磅，创十一年来新高。国内部分纱厂和织厂利用清明节多放几天假，有的仍未开工，因而市场开机率不佳；由于高价棉花向下游传导不畅，纺企在持续亏损之下，或降产能，或转化纤和混纺，也实属无奈之举。</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综上，操作上，郑棉震荡对待，日内偏弱震荡；中长线空单续持。</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bl>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钢材周四价格震荡回落，螺纹2210合约收于5039，热卷2210合约收于5211。现货方面，7日唐山普方坯出厂价报4880（平），上海地区螺纹钢现货价格(HRB400 20mm)5100元（平），热卷现货价格(4.75mm)5230元（-50）。</w:t>
            </w:r>
          </w:p>
          <w:p>
            <w:pPr>
              <w:widowControl/>
              <w:suppressAutoHyphens w:val="0"/>
              <w:ind w:firstLine="630" w:firstLineChars="300"/>
              <w:jc w:val="left"/>
              <w:rPr>
                <w:rFonts w:hint="eastAsia"/>
                <w:color w:val="auto"/>
              </w:rPr>
            </w:pPr>
            <w:r>
              <w:rPr>
                <w:rFonts w:hint="eastAsia"/>
                <w:color w:val="auto"/>
              </w:rPr>
              <w:t>据中指院统计，2022年一季度销售额入围千亿阵营的房企仅两家，分别为碧桂园、万科，较去年同期减少3家。今年1-3月，TOP100房企销售额均值162.6亿元，同比下降47.2%；超百亿房企46家，较去年同期减少30家。</w:t>
            </w:r>
          </w:p>
          <w:p>
            <w:pPr>
              <w:widowControl/>
              <w:suppressAutoHyphens w:val="0"/>
              <w:ind w:firstLine="630" w:firstLineChars="300"/>
              <w:jc w:val="left"/>
              <w:rPr>
                <w:rFonts w:hint="eastAsia"/>
                <w:color w:val="auto"/>
              </w:rPr>
            </w:pPr>
            <w:r>
              <w:rPr>
                <w:rFonts w:hint="eastAsia"/>
                <w:color w:val="auto"/>
              </w:rPr>
              <w:t>据mysteel数据，本周五大品种钢材产量987.55万吨，周环比增加24.97万吨，五大品种表观消费量961.48万吨，周环比减少31.25万吨。钢材总库存量2341.42万吨，周环比增加26.07万吨。其中，钢厂库存量651.37万吨，周环比增加22.19万吨；社会库存量1690.05万吨，周环比增加3.88万吨。</w:t>
            </w:r>
          </w:p>
          <w:p>
            <w:pPr>
              <w:widowControl/>
              <w:suppressAutoHyphens w:val="0"/>
              <w:ind w:firstLine="630" w:firstLineChars="300"/>
              <w:jc w:val="left"/>
              <w:rPr>
                <w:rFonts w:hint="eastAsia"/>
                <w:color w:val="auto"/>
              </w:rPr>
            </w:pPr>
            <w:r>
              <w:rPr>
                <w:rFonts w:hint="eastAsia"/>
                <w:color w:val="auto"/>
              </w:rPr>
              <w:t>4月7日，唐山地区126座高炉中有57座检修（含长期停产），检修高炉容积合计40620m³；周影响产量约94.56万吨，周度产能利用率为70.31%，周环比上升3.04%，月环比上升12.99%，年同比上升12.48%。</w:t>
            </w:r>
          </w:p>
          <w:p>
            <w:pPr>
              <w:widowControl/>
              <w:suppressAutoHyphens w:val="0"/>
              <w:ind w:firstLine="630" w:firstLineChars="300"/>
              <w:jc w:val="left"/>
              <w:rPr>
                <w:rFonts w:hint="eastAsia" w:eastAsia="宋体"/>
                <w:color w:val="auto"/>
                <w:lang w:val="en-US" w:eastAsia="zh-CN"/>
              </w:rPr>
            </w:pPr>
            <w:r>
              <w:rPr>
                <w:rFonts w:hint="eastAsia"/>
                <w:color w:val="auto"/>
              </w:rPr>
              <w:t>本周唐山等地区的疫情影响逐渐淡去，推动产量回升，但消费端周度回落，导致钢材整体库存逆季节性增加。整体看钢材市场北方地区疫情影响减弱，封控逐步解除下产量上升，但南方的疫情仍然严峻，消费端仍然受到影响。房地产虽然国家层面政策宽松较为明显，但从目前1季度的销售数据看，整体还处在下行状态，钢材价格主要受到成本端支持和预期抬升的影响。短期内由于周度库存回升，消费整体弱势的影响，预计钢材价格将偏弱调整</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建议短线操作或观望。</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黄</w:t>
            </w:r>
            <w:r>
              <w:rPr>
                <w:rFonts w:hint="eastAsia"/>
                <w:b/>
                <w:color w:val="auto"/>
                <w:lang w:eastAsia="zh-CN"/>
              </w:rPr>
              <w:t>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rPr>
            </w:pPr>
            <w:r>
              <w:rPr>
                <w:rFonts w:hint="cs"/>
                <w:color w:val="auto"/>
              </w:rPr>
              <w:t xml:space="preserve"> </w:t>
            </w:r>
            <w:r>
              <w:rPr>
                <w:color w:val="auto"/>
              </w:rPr>
              <w:t xml:space="preserve">  </w:t>
            </w:r>
            <w:r>
              <w:rPr>
                <w:rFonts w:hint="eastAsia"/>
                <w:color w:val="auto"/>
              </w:rPr>
              <w:t xml:space="preserve">  昨日进口铁矿港口现货全天价格下跌10-25。现青岛港PB粉1005跌20，超特粉730跌17；曹妃甸港PB粉1020跌20，超特粉745跌15；天津港PB粉1030跌22，混合粉835跌12；江内港PB粉1033跌19，超特粉760跌25；鲅鱼圈港PB粉1061跌14；防城港港PB粉1020跌10。</w:t>
            </w:r>
          </w:p>
          <w:p>
            <w:pPr>
              <w:widowControl/>
              <w:suppressAutoHyphens w:val="0"/>
              <w:jc w:val="left"/>
              <w:rPr>
                <w:rFonts w:hint="eastAsia"/>
                <w:color w:val="auto"/>
              </w:rPr>
            </w:pPr>
            <w:r>
              <w:rPr>
                <w:rFonts w:hint="eastAsia"/>
                <w:color w:val="auto"/>
              </w:rPr>
              <w:t xml:space="preserve">     近期东北地区疫情管控加强，内外矿跨省市公路运输受阻，原材料供应到厂影响较大。其中辽宁地区以公路运输为主钢厂倍受影响，仅部分有铁路运输钢厂仍能维持正常生产。而吉林、黑龙江地区钢厂内外矿多有专线铁路运输，受影响程度不及辽宁。截至7日调研结果来看，东北地区8家钢厂被迫检修、减产，预计影响日均铁水产量2.17万吨，减产比例约7.5%。</w:t>
            </w:r>
          </w:p>
          <w:p>
            <w:pPr>
              <w:widowControl/>
              <w:suppressAutoHyphens w:val="0"/>
              <w:jc w:val="left"/>
              <w:rPr>
                <w:rFonts w:hint="eastAsia" w:eastAsia="宋体"/>
                <w:color w:val="auto"/>
                <w:lang w:val="en-US" w:eastAsia="zh-CN"/>
              </w:rPr>
            </w:pPr>
            <w:r>
              <w:rPr>
                <w:rFonts w:hint="eastAsia"/>
                <w:color w:val="auto"/>
              </w:rPr>
              <w:t xml:space="preserve">     夜盘铁矿石价格高位震荡，当前稳增长政策预期持续强化，市场情绪积极乐观；产业面来看，铁矿石仍处于复产过程和复产预期中，近期疫情对多地生产、物流和消费造成影响，后期随着疫情的有效控制，供需边际仍将改善，4月份港口库存或将保持去库状态，铁矿石价格震荡偏强运行，短期价格持续上涨后现实端需求的疲弱对价格形成压制作用</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短线和波段操作为主。</w:t>
            </w:r>
          </w:p>
          <w:p>
            <w:pPr>
              <w:rPr>
                <w:rFonts w:hint="eastAsia"/>
                <w:b/>
                <w:color w:val="auto"/>
                <w:lang w:eastAsia="zh-CN"/>
              </w:rPr>
            </w:pPr>
          </w:p>
          <w:p>
            <w:pPr>
              <w:rPr>
                <w:b/>
                <w:color w:val="auto"/>
                <w:lang w:eastAsia="zh-CN"/>
              </w:rPr>
            </w:pPr>
            <w:r>
              <w:rPr>
                <w:rFonts w:hint="eastAsia"/>
                <w:b/>
                <w:color w:val="auto"/>
                <w:lang w:eastAsia="zh-CN"/>
              </w:rPr>
              <w:t>(杨</w:t>
            </w:r>
            <w:r>
              <w:rPr>
                <w:rFonts w:hint="eastAsia"/>
                <w:b/>
                <w:color w:val="auto"/>
                <w:lang w:eastAsia="zh-CN"/>
              </w:rPr>
              <w:t>俊林)</w:t>
            </w: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双焦现货价格持稳向好，山东、河北、山西等地焦企焦炭价格第四轮调整，主流钢厂暂无回应。山西介休1.3硫主焦2600元/吨，蒙5金泉提货价2900元/吨，澳煤到岸价401美元/吨（-49）；吕梁准一出厂价3350元/吨，唐山二级焦到厂价3450元/吨，青岛港准一焦平仓价3600元/吨。</w:t>
            </w:r>
          </w:p>
          <w:p>
            <w:pPr>
              <w:widowControl/>
              <w:suppressAutoHyphens w:val="0"/>
              <w:ind w:firstLine="630" w:firstLineChars="300"/>
              <w:jc w:val="left"/>
              <w:rPr>
                <w:rFonts w:hint="eastAsia"/>
                <w:color w:val="auto"/>
              </w:rPr>
            </w:pPr>
            <w:r>
              <w:rPr>
                <w:rFonts w:hint="eastAsia"/>
                <w:color w:val="auto"/>
              </w:rPr>
              <w:t>各地产销，山西地区煤矿生产暂未受到疫情影响，但疫情对发运影响较大，场地库存有所堆积；内蒙地区环保检查洗煤厂多数停产整顿。焦企整体开工高位持稳，但近期主产地疫情频发，部分焦企原料库存有所告急。进口蒙煤方面，甘其毛都口岸昨日通关202车，满都拉口岸通关75车，后续仍有增长可能。海运煤方面，国际钢厂米塔尔转卖一线焦煤峰景，市场情绪继续走弱，澳洲硬主焦报价持续下滑，不过随着国际价格跌至国内贸易商可接受价位，部分贸易商或将启动采购需求。</w:t>
            </w:r>
          </w:p>
          <w:p>
            <w:pPr>
              <w:widowControl/>
              <w:suppressAutoHyphens w:val="0"/>
              <w:ind w:firstLine="630" w:firstLineChars="300"/>
              <w:jc w:val="left"/>
              <w:rPr>
                <w:rFonts w:hint="eastAsia"/>
                <w:color w:val="auto"/>
              </w:rPr>
            </w:pPr>
            <w:r>
              <w:rPr>
                <w:rFonts w:hint="eastAsia"/>
                <w:color w:val="auto"/>
              </w:rPr>
              <w:t>本周焦企开工小幅回升，独立焦企日均产量66.2万吨，增0.4，钢厂焦企日均产量47万吨，与上周持平。</w:t>
            </w:r>
          </w:p>
          <w:p>
            <w:pPr>
              <w:widowControl/>
              <w:suppressAutoHyphens w:val="0"/>
              <w:ind w:firstLine="630" w:firstLineChars="300"/>
              <w:jc w:val="left"/>
              <w:rPr>
                <w:rFonts w:hint="eastAsia"/>
                <w:color w:val="auto"/>
              </w:rPr>
            </w:pPr>
            <w:r>
              <w:rPr>
                <w:rFonts w:hint="eastAsia"/>
                <w:color w:val="auto"/>
              </w:rPr>
              <w:t>焦炭库存小幅下滑。独立焦企库存114.2万吨，增4.2，钢厂焦企库存695万吨，减12.4，港口库存306.8万吨，增1.1。</w:t>
            </w:r>
          </w:p>
          <w:p>
            <w:pPr>
              <w:widowControl/>
              <w:suppressAutoHyphens w:val="0"/>
              <w:ind w:firstLine="630" w:firstLineChars="300"/>
              <w:jc w:val="left"/>
              <w:rPr>
                <w:rFonts w:hint="eastAsia"/>
                <w:color w:val="auto"/>
              </w:rPr>
            </w:pPr>
            <w:r>
              <w:rPr>
                <w:rFonts w:hint="eastAsia"/>
                <w:color w:val="auto"/>
              </w:rPr>
              <w:t>焦煤库存小幅下滑。煤矿库存243.47万吨，增5.78，独立焦企焦煤库存1240.8万吨，减36.3，钢厂焦煤库存862.3万吨，减2.5，港口焦煤库存615.3万吨，增9。</w:t>
            </w:r>
          </w:p>
          <w:p>
            <w:pPr>
              <w:widowControl/>
              <w:suppressAutoHyphens w:val="0"/>
              <w:ind w:firstLine="630" w:firstLineChars="300"/>
              <w:jc w:val="left"/>
              <w:rPr>
                <w:rFonts w:hint="eastAsia" w:eastAsia="宋体"/>
                <w:color w:val="auto"/>
                <w:lang w:val="en-US" w:eastAsia="zh-CN"/>
              </w:rPr>
            </w:pPr>
            <w:r>
              <w:rPr>
                <w:rFonts w:hint="eastAsia"/>
                <w:color w:val="auto"/>
              </w:rPr>
              <w:t>近期在钢厂复产、补库预期推动下，双焦现货持稳向好，叠加稳增长预期，成本上行的正反馈逻辑推动期价持续反弹。目前双焦盘面升水现货，消化一轮提涨预期，焦点再度转移至现货对预期的兑现能力，同时疫情持续对物流造成阻碍，钢厂被迫降低开工，也对短期双焦需求造成影响。</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整体强预期等待现货逐步验证的节奏，盘面预计高位震荡，注意节奏把握。</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李岩）</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大幅下跌，沪铝主力月2205合约收至21815元/吨，跌785元，跌幅3.47%。现货方面，7日长江现货成交价格22000-22040元/吨，跌460元，贴水100-贴水60；广东南储报22020-22080元/吨，跌470元；华通报22060-22100元/吨，跌450元。贸易商家继续调价出货刺激买方补货，接货商接货意愿较昨日高，按需压价采购低价货源，整体成交量有回升。</w:t>
            </w:r>
          </w:p>
          <w:p>
            <w:pPr>
              <w:widowControl/>
              <w:suppressAutoHyphens w:val="0"/>
              <w:ind w:firstLine="630" w:firstLineChars="300"/>
              <w:jc w:val="left"/>
              <w:rPr>
                <w:rFonts w:hint="eastAsia"/>
                <w:color w:val="auto"/>
                <w:lang w:val="en-US" w:eastAsia="zh-CN"/>
              </w:rPr>
            </w:pPr>
            <w:r>
              <w:rPr>
                <w:rFonts w:hint="eastAsia"/>
                <w:color w:val="auto"/>
                <w:lang w:val="en-US" w:eastAsia="zh-CN"/>
              </w:rPr>
              <w:t>7日，SMM统计国内电解铝社会库存106.6万吨，较上周四周度累库2.5万吨，无锡地区贡献主要增量，该地区受疫情影响，汽运受阻，仓库无法正常提货出库，到货方面，铁路运输正常叠加个别持有48小时阴性核酸报告及通行证的司乘人员驾驶汽运陆续到货，共累库3.6万吨。本周铝下游龙头加工企业开工率环比再下降0.7个百分点至66.6%。</w:t>
            </w:r>
          </w:p>
          <w:p>
            <w:pPr>
              <w:widowControl/>
              <w:suppressAutoHyphens w:val="0"/>
              <w:ind w:firstLine="630" w:firstLineChars="300"/>
              <w:jc w:val="left"/>
              <w:rPr>
                <w:color w:val="auto"/>
              </w:rPr>
            </w:pPr>
            <w:r>
              <w:rPr>
                <w:rFonts w:hint="eastAsia"/>
                <w:color w:val="auto"/>
                <w:lang w:val="en-US" w:eastAsia="zh-CN"/>
              </w:rPr>
              <w:t>目前俄乌局势趋向缓和，但西方国家对俄罗斯的制裁仍在继续，俄铝向外出口继续受阻，欧洲铝企受高电价影响减产的风险将继续扩大，海外供应忧虑持续。国内云南、内蒙等地电解铝复产及新增产能投产提速，但产量难超去年同期，叠加疫情冲击干扰铝锭及氧化铝等原料运输效率。下游受疫情影响部分加工企业被迫减停产，需求复苏受阻。短期需求疲软铝价上涨乏力，加上美联储鹰派言论致有色整体承压，铝价弱势运行但下方空间有限。</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操作上偏多思路对待，逢回调买入。</w:t>
            </w:r>
          </w:p>
          <w:p>
            <w:pPr>
              <w:rPr>
                <w:rFonts w:hint="eastAsia"/>
                <w:b/>
                <w:color w:val="auto"/>
                <w:lang w:eastAsia="zh-CN"/>
              </w:rPr>
            </w:pPr>
          </w:p>
          <w:p>
            <w:pPr>
              <w:rPr>
                <w:b/>
                <w:color w:val="auto"/>
                <w:lang w:eastAsia="zh-CN"/>
              </w:rPr>
            </w:pPr>
            <w:r>
              <w:rPr>
                <w:rFonts w:hint="eastAsia"/>
                <w:b/>
                <w:color w:val="auto"/>
                <w:lang w:eastAsia="zh-CN"/>
              </w:rPr>
              <w:t>（有色组）</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昨日欧美股市互有涨跌，美元指数继续走强逼近100关口，对大宗工业品带来压力影响，国内政策面继续吹风稳增长的举措，但疫情的防控形势仍较为严峻，对中短期天胶的需求带来较大压力。近期国内工业品期货指数偏高位置承压震荡，其中仍暗含较大的风险，值得重点关注。行业方面，昨日泰国原料价格小幅上涨，国内云南西双版纳产区局部降雨，原料胶水有限，胶水参考价格在11600-12000元/吨。海南产区南部地区零星开割，原料胶水产出不多，制全乳胶水收购价在12.5。本周国内轮胎开工率水平较节前明显下降，主要原因在于假期以及国内部分地区物流运输不畅导致厂家滞留库存储备增多，轮胎库存承压明显。昨日国内现货市场主流价格跟随期货盘面下跌125-350元/吨，下游维持刚需采买为主，局部地区交投运输仍有所受限，上海20年SCRWF主流价格在12750—12850元/吨；上海地区SVR3L参考价格在12800—12850元/吨；云南市场国产10#胶参考价格11900—12200元/吨。</w:t>
            </w:r>
          </w:p>
          <w:p>
            <w:pPr>
              <w:widowControl/>
              <w:suppressAutoHyphens w:val="0"/>
              <w:ind w:firstLine="630" w:firstLineChars="300"/>
              <w:jc w:val="left"/>
              <w:rPr>
                <w:rFonts w:hint="eastAsia" w:eastAsia="宋体"/>
                <w:color w:val="auto"/>
                <w:lang w:eastAsia="zh-CN"/>
              </w:rPr>
            </w:pPr>
            <w:r>
              <w:rPr>
                <w:rFonts w:hint="eastAsia"/>
                <w:color w:val="auto"/>
              </w:rPr>
              <w:t>技术面：昨日RU2209低位偏空窄幅震荡，短期仍受跌势压制，上方短期压力在13650附近，不过下方13500附近仍面临较强的支撑，继续向下大幅开拓空间的难度较大，低位震荡后回升的可能性依旧存在。</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操作建议：短线保持低位震荡思路，轻仓低买高平的波段操作，中线投资者保持逢跌至低价左侧少量布局多单。</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王海峰）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有外媒爆料称，周三，美国众议院能源调查委员会对埃克森美孚、英国石油、雪佛龙、壳牌美国分公司等6家公司的首席执行官进行质询，质询时间长达6小时。3月份中国独立炼油厂的进口从2月份的四个月低点回升6.7%至1405.5万吨，但这一趋势在4月份难以持续。国际能源署（IEA）确认全球释储规模达2.4亿桶。美国至4月1日当周EIA原油库存增加242.1万桶，预期减少205.6万桶，前值减少344.9万桶。上周美国国内原油产量增加10万桶至1180万桶/日。美国上周原油出口增加70.5万桶/日至369.3万桶/日。阿联酋Fujairah港石油产品库存降至七周低点，因为汽油和其他轻馏分油创下历史新低。圭亚那环境保护机构已批准埃克森美孚的海上Yellowtail项目，预计在2025年调试后达到满负荷生产时将生产25万桶/日。欧佩克月报显示，欧佩克2月份的石油产量增加了44万桶/日，达到2847万桶/日，超过了欧佩克+协议承诺的增产量；二手资料显示，2月沙特原油产量增加14.1万桶/日，至1019.3万桶/日；伊拉克原油产量增加3.6万桶/日，至426.8万桶/日；阿联酋原油产量增加2.6万桶/日，至295.1万桶/日；伊朗原油产量增加4.4万桶/日，至254.6万桶/日。欧盟已宣布禁止俄罗斯煤炭进口和俄罗斯从欧盟港口运输，并正在制定进一步的制裁措施，包括石油进口。4月5日，美国石油协会（API）公布数据显示，美国至4月1日当周API原油库存增加108万桶，预期减少301.6万桶，前值减少300万桶。</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操作建议：欧洲能否有效制裁俄罗斯原油出口存在不确定性，且局部地区疫情严峻引发需求担忧，国际油价小幅下跌。NYMEX原油期货05合约96.03跌0.20美元/桶或0.21%；ICE布油期货06合约100.58跌0.49美元/桶或0.48%。</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操作思路以震荡偏空为主，关注布伦特原油震荡区间95-105美元/桶，注意止盈止损。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黄世俊</w:t>
            </w:r>
            <w:r>
              <w:rPr>
                <w:rFonts w:hint="eastAsia"/>
                <w:b/>
                <w:color w:val="auto"/>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A17F68"/>
    <w:rsid w:val="09656767"/>
    <w:rsid w:val="099174FC"/>
    <w:rsid w:val="0C12090D"/>
    <w:rsid w:val="14E22F0B"/>
    <w:rsid w:val="16714D70"/>
    <w:rsid w:val="18B11A3E"/>
    <w:rsid w:val="18B21305"/>
    <w:rsid w:val="195C02AF"/>
    <w:rsid w:val="1A8E2066"/>
    <w:rsid w:val="1C955016"/>
    <w:rsid w:val="1CAE3AF0"/>
    <w:rsid w:val="20970D76"/>
    <w:rsid w:val="227F224C"/>
    <w:rsid w:val="23F270CF"/>
    <w:rsid w:val="2A7A4984"/>
    <w:rsid w:val="2D8D3BC9"/>
    <w:rsid w:val="321D62B5"/>
    <w:rsid w:val="353D5E3C"/>
    <w:rsid w:val="384D33C8"/>
    <w:rsid w:val="406C6812"/>
    <w:rsid w:val="4A29450B"/>
    <w:rsid w:val="4D9E7DC0"/>
    <w:rsid w:val="4FCE0CA2"/>
    <w:rsid w:val="578723B2"/>
    <w:rsid w:val="5B922A05"/>
    <w:rsid w:val="66714647"/>
    <w:rsid w:val="66CC74E1"/>
    <w:rsid w:val="73C8743F"/>
    <w:rsid w:val="7B9137A7"/>
    <w:rsid w:val="7DFC7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19</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2022-04-08T00:47:51Z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