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color w:val="auto"/>
          <w:kern w:val="0"/>
          <w:szCs w:val="21"/>
          <w:lang w:eastAsia="zh-CN"/>
        </w:rPr>
      </w:pPr>
      <w:r>
        <w:rPr>
          <w:rFonts w:hint="eastAsia" w:ascii="宋体" w:hAnsi="宋体" w:cs="宋体"/>
          <w:color w:val="auto"/>
          <w:kern w:val="0"/>
          <w:szCs w:val="21"/>
          <w:lang w:eastAsia="zh-CN"/>
        </w:rPr>
        <w:t>道通早报</w:t>
      </w:r>
    </w:p>
    <w:p>
      <w:pPr>
        <w:widowControl/>
        <w:jc w:val="right"/>
        <w:rPr>
          <w:rFonts w:ascii="宋体" w:hAnsi="宋体" w:cs="宋体"/>
          <w:color w:val="auto"/>
          <w:kern w:val="0"/>
          <w:szCs w:val="21"/>
          <w:lang w:eastAsia="zh-CN"/>
        </w:rPr>
      </w:pPr>
      <w:r>
        <w:rPr>
          <w:rFonts w:hint="eastAsia" w:ascii="宋体" w:hAnsi="宋体" w:cs="宋体"/>
          <w:color w:val="auto"/>
          <w:kern w:val="0"/>
          <w:szCs w:val="21"/>
          <w:lang w:eastAsia="zh-CN"/>
        </w:rPr>
        <w:t>日期：202</w:t>
      </w:r>
      <w:r>
        <w:rPr>
          <w:rFonts w:hint="eastAsia" w:ascii="宋体" w:hAnsi="宋体" w:cs="宋体"/>
          <w:color w:val="auto"/>
          <w:kern w:val="0"/>
          <w:szCs w:val="21"/>
          <w:lang w:val="en-US" w:eastAsia="zh-CN"/>
        </w:rPr>
        <w:t>2</w:t>
      </w:r>
      <w:r>
        <w:rPr>
          <w:rFonts w:hint="eastAsia" w:ascii="宋体" w:hAnsi="宋体" w:cs="宋体"/>
          <w:color w:val="auto"/>
          <w:kern w:val="0"/>
          <w:szCs w:val="21"/>
          <w:lang w:eastAsia="zh-CN"/>
        </w:rPr>
        <w:t>年</w:t>
      </w:r>
      <w:r>
        <w:rPr>
          <w:rFonts w:hint="eastAsia" w:ascii="宋体" w:hAnsi="宋体" w:cs="宋体"/>
          <w:color w:val="auto"/>
          <w:kern w:val="0"/>
          <w:szCs w:val="21"/>
          <w:lang w:val="en-US" w:eastAsia="zh-CN"/>
        </w:rPr>
        <w:t>4月11</w:t>
      </w:r>
      <w:r>
        <w:rPr>
          <w:rFonts w:hint="eastAsia" w:ascii="宋体" w:hAnsi="宋体" w:cs="宋体"/>
          <w:color w:val="auto"/>
          <w:kern w:val="0"/>
          <w:szCs w:val="21"/>
          <w:lang w:eastAsia="zh-CN"/>
        </w:rPr>
        <w:t>日</w:t>
      </w: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【经济要闻】</w:t>
      </w:r>
    </w:p>
    <w:p>
      <w:pPr>
        <w:rPr>
          <w:color w:val="auto"/>
        </w:rPr>
      </w:pPr>
    </w:p>
    <w:p>
      <w:pPr>
        <w:rPr>
          <w:color w:val="auto"/>
        </w:rPr>
      </w:pPr>
    </w:p>
    <w:p>
      <w:pPr>
        <w:rPr>
          <w:rFonts w:hint="eastAsia"/>
          <w:color w:val="auto"/>
        </w:rPr>
      </w:pPr>
      <w:r>
        <w:rPr>
          <w:rFonts w:hint="eastAsia"/>
          <w:color w:val="auto"/>
        </w:rPr>
        <w:t>【国际宏观基本面信息】</w:t>
      </w:r>
    </w:p>
    <w:p>
      <w:pPr>
        <w:rPr>
          <w:rFonts w:hint="eastAsia"/>
          <w:color w:val="auto"/>
        </w:rPr>
      </w:pPr>
      <w:r>
        <w:rPr>
          <w:rFonts w:hint="eastAsia"/>
          <w:color w:val="auto"/>
        </w:rPr>
        <w:t>1 俄乌冲突打乱供应 、联合国全球生活成本指数上个月飙升了13%，再次创下新高。联合国粮农组织警告，如果俄乌危机持续，由此产生的全球粮食和饲料供需缺口，可能使国际粮食价格在本已非常高的基础上再上涨8%至22%。</w:t>
      </w:r>
    </w:p>
    <w:p>
      <w:pPr>
        <w:rPr>
          <w:rFonts w:hint="eastAsia"/>
          <w:color w:val="auto"/>
        </w:rPr>
      </w:pPr>
      <w:r>
        <w:rPr>
          <w:rFonts w:hint="eastAsia"/>
          <w:color w:val="auto"/>
        </w:rPr>
        <w:t>2  白宫当地时间8日发布消息称，美国总统拜登当天签署了“停止进口俄罗斯石油法案”，以及“暂停与俄罗斯和白俄罗斯的正常贸易关系的法案”。</w:t>
      </w:r>
    </w:p>
    <w:p>
      <w:pPr>
        <w:rPr>
          <w:rFonts w:hint="eastAsia"/>
          <w:color w:val="auto"/>
        </w:rPr>
      </w:pPr>
    </w:p>
    <w:p>
      <w:pPr>
        <w:rPr>
          <w:rFonts w:hint="eastAsia"/>
          <w:color w:val="auto"/>
        </w:rPr>
      </w:pPr>
      <w:r>
        <w:rPr>
          <w:rFonts w:hint="eastAsia"/>
          <w:color w:val="auto"/>
        </w:rPr>
        <w:t>【国内宏观基本面信息】</w:t>
      </w:r>
    </w:p>
    <w:p>
      <w:pPr>
        <w:rPr>
          <w:rFonts w:hint="eastAsia"/>
          <w:color w:val="auto"/>
        </w:rPr>
      </w:pPr>
      <w:r>
        <w:rPr>
          <w:rFonts w:hint="eastAsia"/>
          <w:color w:val="auto"/>
        </w:rPr>
        <w:t>1  李克强重磅发声，政策要靠前发力、适时加力 不断激发市场主体活力，促进消费和有效投资扩大</w:t>
      </w:r>
    </w:p>
    <w:p>
      <w:pPr>
        <w:rPr>
          <w:rFonts w:hint="eastAsia"/>
          <w:color w:val="auto"/>
        </w:rPr>
      </w:pPr>
      <w:r>
        <w:rPr>
          <w:rFonts w:hint="eastAsia"/>
          <w:color w:val="auto"/>
        </w:rPr>
        <w:t>2  银保监会通知指出，银行业金融机构要进一步推广“随借随还”模式，加大续贷政策落实力度，主动跟进小微企业融资需求。同时持续做好对小微制造业企业的金融服务</w:t>
      </w:r>
    </w:p>
    <w:p>
      <w:pPr>
        <w:rPr>
          <w:rFonts w:hint="eastAsia"/>
          <w:color w:val="auto"/>
        </w:rPr>
      </w:pPr>
      <w:r>
        <w:rPr>
          <w:rFonts w:hint="eastAsia"/>
          <w:color w:val="auto"/>
        </w:rPr>
        <w:t>3  证监会主席易会满围绕“上市公司高质量发展”话题发表演讲，内容涉及注册制、沪深港通标的扩围、中概股审计、“空壳”“僵尸”企业坚决出清等市场关心的热点问题。</w:t>
      </w:r>
    </w:p>
    <w:p>
      <w:pPr>
        <w:rPr>
          <w:rFonts w:hint="eastAsia"/>
          <w:color w:val="auto"/>
        </w:rPr>
      </w:pPr>
      <w:r>
        <w:rPr>
          <w:rFonts w:hint="eastAsia"/>
          <w:color w:val="auto"/>
        </w:rPr>
        <w:t>4  4月以来，近一周时间已有6个城市放松楼市调控政策，包括浙江衢州、河北秦皇岛、甘肃兰州、四川绵阳、浙江丽水、浙江台州等。</w:t>
      </w:r>
    </w:p>
    <w:p>
      <w:pPr>
        <w:rPr>
          <w:rFonts w:hint="eastAsia"/>
          <w:color w:val="auto"/>
        </w:rPr>
      </w:pPr>
    </w:p>
    <w:p>
      <w:pPr>
        <w:rPr>
          <w:rFonts w:hint="eastAsia"/>
          <w:color w:val="auto"/>
        </w:rPr>
      </w:pPr>
    </w:p>
    <w:p>
      <w:pPr>
        <w:rPr>
          <w:rFonts w:hint="eastAsia"/>
          <w:color w:val="auto"/>
        </w:rPr>
      </w:pPr>
      <w:r>
        <w:rPr>
          <w:rFonts w:hint="eastAsia"/>
          <w:color w:val="auto"/>
        </w:rPr>
        <w:t>【当日重要经济数据】</w:t>
      </w:r>
    </w:p>
    <w:p>
      <w:pPr>
        <w:rPr>
          <w:rFonts w:hint="eastAsia"/>
          <w:color w:val="auto"/>
        </w:rPr>
      </w:pPr>
      <w:r>
        <w:rPr>
          <w:rFonts w:hint="eastAsia"/>
          <w:color w:val="auto"/>
        </w:rPr>
        <w:t>09:30</w:t>
      </w:r>
      <w:r>
        <w:rPr>
          <w:rFonts w:hint="eastAsia"/>
          <w:color w:val="auto"/>
        </w:rPr>
        <w:tab/>
      </w:r>
      <w:r>
        <w:rPr>
          <w:rFonts w:hint="eastAsia"/>
          <w:color w:val="auto"/>
        </w:rPr>
        <w:t>中国3月PPI月率(%)</w:t>
      </w:r>
      <w:r>
        <w:rPr>
          <w:rFonts w:hint="eastAsia"/>
          <w:color w:val="auto"/>
        </w:rPr>
        <w:tab/>
      </w:r>
      <w:r>
        <w:rPr>
          <w:rFonts w:hint="eastAsia"/>
          <w:color w:val="auto"/>
        </w:rPr>
        <w:t>0.5</w:t>
      </w:r>
      <w:r>
        <w:rPr>
          <w:rFonts w:hint="eastAsia"/>
          <w:color w:val="auto"/>
        </w:rPr>
        <w:tab/>
      </w:r>
      <w:r>
        <w:rPr>
          <w:rFonts w:hint="eastAsia"/>
          <w:color w:val="auto"/>
        </w:rPr>
        <w:tab/>
      </w:r>
      <w:r>
        <w:rPr>
          <w:rFonts w:hint="eastAsia"/>
          <w:color w:val="auto"/>
        </w:rPr>
        <w:tab/>
      </w:r>
      <w:r>
        <w:rPr>
          <w:rFonts w:hint="eastAsia"/>
          <w:color w:val="auto"/>
        </w:rPr>
        <w:tab/>
      </w:r>
    </w:p>
    <w:p>
      <w:pPr>
        <w:rPr>
          <w:rFonts w:hint="eastAsia"/>
          <w:color w:val="auto"/>
        </w:rPr>
      </w:pPr>
      <w:r>
        <w:rPr>
          <w:rFonts w:hint="eastAsia"/>
          <w:color w:val="auto"/>
        </w:rPr>
        <w:t>中国3月PPI年率(%)</w:t>
      </w:r>
      <w:r>
        <w:rPr>
          <w:rFonts w:hint="eastAsia"/>
          <w:color w:val="auto"/>
        </w:rPr>
        <w:tab/>
      </w:r>
      <w:r>
        <w:rPr>
          <w:rFonts w:hint="eastAsia"/>
          <w:color w:val="auto"/>
        </w:rPr>
        <w:t>8.8</w:t>
      </w:r>
      <w:r>
        <w:rPr>
          <w:rFonts w:hint="eastAsia"/>
          <w:color w:val="auto"/>
        </w:rPr>
        <w:tab/>
      </w:r>
      <w:r>
        <w:rPr>
          <w:rFonts w:hint="eastAsia"/>
          <w:color w:val="auto"/>
        </w:rPr>
        <w:t>7.9</w:t>
      </w:r>
      <w:r>
        <w:rPr>
          <w:rFonts w:hint="eastAsia"/>
          <w:color w:val="auto"/>
        </w:rPr>
        <w:tab/>
      </w:r>
      <w:r>
        <w:rPr>
          <w:rFonts w:hint="eastAsia"/>
          <w:color w:val="auto"/>
        </w:rPr>
        <w:tab/>
      </w:r>
    </w:p>
    <w:p>
      <w:pPr>
        <w:rPr>
          <w:rFonts w:hint="eastAsia"/>
          <w:color w:val="auto"/>
        </w:rPr>
      </w:pPr>
      <w:r>
        <w:rPr>
          <w:rFonts w:hint="eastAsia"/>
          <w:color w:val="auto"/>
        </w:rPr>
        <w:t>09:30</w:t>
      </w:r>
      <w:r>
        <w:rPr>
          <w:rFonts w:hint="eastAsia"/>
          <w:color w:val="auto"/>
        </w:rPr>
        <w:tab/>
      </w:r>
      <w:r>
        <w:rPr>
          <w:rFonts w:hint="eastAsia"/>
          <w:color w:val="auto"/>
        </w:rPr>
        <w:t>中国3月CPI年率(%)</w:t>
      </w:r>
      <w:r>
        <w:rPr>
          <w:rFonts w:hint="eastAsia"/>
          <w:color w:val="auto"/>
        </w:rPr>
        <w:tab/>
      </w:r>
      <w:r>
        <w:rPr>
          <w:rFonts w:hint="eastAsia"/>
          <w:color w:val="auto"/>
        </w:rPr>
        <w:t>0.9</w:t>
      </w:r>
      <w:r>
        <w:rPr>
          <w:rFonts w:hint="eastAsia"/>
          <w:color w:val="auto"/>
        </w:rPr>
        <w:tab/>
      </w:r>
      <w:r>
        <w:rPr>
          <w:rFonts w:hint="eastAsia"/>
          <w:color w:val="auto"/>
        </w:rPr>
        <w:t>1.2</w:t>
      </w:r>
      <w:r>
        <w:rPr>
          <w:rFonts w:hint="eastAsia"/>
          <w:color w:val="auto"/>
        </w:rPr>
        <w:tab/>
      </w:r>
      <w:r>
        <w:rPr>
          <w:rFonts w:hint="eastAsia"/>
          <w:color w:val="auto"/>
        </w:rPr>
        <w:tab/>
      </w:r>
    </w:p>
    <w:p>
      <w:pPr>
        <w:rPr>
          <w:rFonts w:hint="eastAsia"/>
          <w:color w:val="auto"/>
        </w:rPr>
      </w:pPr>
      <w:r>
        <w:rPr>
          <w:rFonts w:hint="eastAsia"/>
          <w:color w:val="auto"/>
        </w:rPr>
        <w:t>中国3月CPI月率(%)</w:t>
      </w:r>
      <w:r>
        <w:rPr>
          <w:rFonts w:hint="eastAsia"/>
          <w:color w:val="auto"/>
        </w:rPr>
        <w:tab/>
      </w:r>
      <w:r>
        <w:rPr>
          <w:rFonts w:hint="eastAsia"/>
          <w:color w:val="auto"/>
        </w:rPr>
        <w:t>0.6</w:t>
      </w:r>
      <w:r>
        <w:rPr>
          <w:rFonts w:hint="eastAsia"/>
          <w:color w:val="auto"/>
        </w:rPr>
        <w:tab/>
      </w:r>
      <w:r>
        <w:rPr>
          <w:rFonts w:hint="eastAsia"/>
          <w:color w:val="auto"/>
        </w:rPr>
        <w:t>-0.1</w:t>
      </w:r>
    </w:p>
    <w:p>
      <w:pPr>
        <w:rPr>
          <w:rFonts w:hint="eastAsia"/>
          <w:color w:val="auto"/>
        </w:rPr>
      </w:pPr>
    </w:p>
    <w:p>
      <w:pPr>
        <w:rPr>
          <w:rFonts w:hint="eastAsia"/>
          <w:color w:val="auto"/>
        </w:rPr>
      </w:pPr>
      <w:r>
        <w:rPr>
          <w:rFonts w:hint="eastAsia"/>
          <w:color w:val="auto"/>
        </w:rPr>
        <w:t>可能公布（0408-0415）</w:t>
      </w:r>
    </w:p>
    <w:p>
      <w:pPr>
        <w:rPr>
          <w:rFonts w:hint="eastAsia"/>
          <w:color w:val="auto"/>
        </w:rPr>
      </w:pPr>
      <w:r>
        <w:rPr>
          <w:rFonts w:hint="eastAsia"/>
          <w:color w:val="auto"/>
        </w:rPr>
        <w:t>09:00</w:t>
      </w:r>
      <w:r>
        <w:rPr>
          <w:rFonts w:hint="eastAsia"/>
          <w:color w:val="auto"/>
        </w:rPr>
        <w:tab/>
      </w:r>
      <w:r>
        <w:rPr>
          <w:rFonts w:hint="eastAsia"/>
          <w:color w:val="auto"/>
        </w:rPr>
        <w:t>中国3月社会融资规模-单月(亿人民币)</w:t>
      </w:r>
      <w:r>
        <w:rPr>
          <w:rFonts w:hint="eastAsia"/>
          <w:color w:val="auto"/>
        </w:rPr>
        <w:tab/>
      </w:r>
      <w:r>
        <w:rPr>
          <w:rFonts w:hint="eastAsia"/>
          <w:color w:val="auto"/>
        </w:rPr>
        <w:t>11900</w:t>
      </w:r>
      <w:r>
        <w:rPr>
          <w:rFonts w:hint="eastAsia"/>
          <w:color w:val="auto"/>
        </w:rPr>
        <w:tab/>
      </w:r>
    </w:p>
    <w:p>
      <w:pPr>
        <w:rPr>
          <w:rFonts w:hint="eastAsia"/>
          <w:color w:val="auto"/>
        </w:rPr>
      </w:pPr>
      <w:r>
        <w:rPr>
          <w:rFonts w:hint="eastAsia"/>
          <w:color w:val="auto"/>
        </w:rPr>
        <w:t>中国3月M2货币供应年率(%)</w:t>
      </w:r>
      <w:r>
        <w:rPr>
          <w:rFonts w:hint="eastAsia"/>
          <w:color w:val="auto"/>
        </w:rPr>
        <w:tab/>
      </w:r>
      <w:r>
        <w:rPr>
          <w:rFonts w:hint="eastAsia"/>
          <w:color w:val="auto"/>
        </w:rPr>
        <w:t>9.2</w:t>
      </w:r>
      <w:r>
        <w:rPr>
          <w:rFonts w:hint="eastAsia"/>
          <w:color w:val="auto"/>
        </w:rPr>
        <w:tab/>
      </w:r>
      <w:r>
        <w:rPr>
          <w:rFonts w:hint="eastAsia"/>
          <w:color w:val="auto"/>
        </w:rPr>
        <w:tab/>
      </w:r>
      <w:r>
        <w:rPr>
          <w:rFonts w:hint="eastAsia"/>
          <w:color w:val="auto"/>
        </w:rPr>
        <w:tab/>
      </w:r>
    </w:p>
    <w:p>
      <w:pPr>
        <w:rPr>
          <w:rFonts w:hint="eastAsia"/>
          <w:color w:val="auto"/>
        </w:rPr>
      </w:pPr>
      <w:r>
        <w:rPr>
          <w:rFonts w:hint="eastAsia"/>
          <w:color w:val="auto"/>
        </w:rPr>
        <w:t>中国3月M1货币供应年率(%)</w:t>
      </w:r>
      <w:r>
        <w:rPr>
          <w:rFonts w:hint="eastAsia"/>
          <w:color w:val="auto"/>
        </w:rPr>
        <w:tab/>
      </w:r>
      <w:r>
        <w:rPr>
          <w:rFonts w:hint="eastAsia"/>
          <w:color w:val="auto"/>
        </w:rPr>
        <w:t>4.7</w:t>
      </w:r>
      <w:r>
        <w:rPr>
          <w:rFonts w:hint="eastAsia"/>
          <w:color w:val="auto"/>
        </w:rPr>
        <w:tab/>
      </w:r>
      <w:r>
        <w:rPr>
          <w:rFonts w:hint="eastAsia"/>
          <w:color w:val="auto"/>
        </w:rPr>
        <w:tab/>
      </w:r>
      <w:r>
        <w:rPr>
          <w:rFonts w:hint="eastAsia"/>
          <w:color w:val="auto"/>
        </w:rPr>
        <w:tab/>
      </w:r>
      <w:r>
        <w:rPr>
          <w:rFonts w:hint="eastAsia"/>
          <w:color w:val="auto"/>
        </w:rPr>
        <w:tab/>
      </w:r>
    </w:p>
    <w:p>
      <w:pPr>
        <w:rPr>
          <w:rFonts w:hint="eastAsia"/>
          <w:color w:val="auto"/>
        </w:rPr>
      </w:pPr>
      <w:r>
        <w:rPr>
          <w:rFonts w:hint="eastAsia"/>
          <w:color w:val="auto"/>
        </w:rPr>
        <w:t>中国3月M0货币供应年率(%)</w:t>
      </w:r>
      <w:r>
        <w:rPr>
          <w:rFonts w:hint="eastAsia"/>
          <w:color w:val="auto"/>
        </w:rPr>
        <w:tab/>
      </w:r>
      <w:r>
        <w:rPr>
          <w:rFonts w:hint="eastAsia"/>
          <w:color w:val="auto"/>
        </w:rPr>
        <w:t>5.8</w:t>
      </w:r>
      <w:r>
        <w:rPr>
          <w:rFonts w:hint="eastAsia"/>
          <w:color w:val="auto"/>
        </w:rPr>
        <w:tab/>
      </w:r>
      <w:r>
        <w:rPr>
          <w:rFonts w:hint="eastAsia"/>
          <w:color w:val="auto"/>
        </w:rPr>
        <w:tab/>
      </w:r>
      <w:r>
        <w:rPr>
          <w:rFonts w:hint="eastAsia"/>
          <w:color w:val="auto"/>
        </w:rPr>
        <w:tab/>
      </w:r>
      <w:r>
        <w:rPr>
          <w:rFonts w:hint="eastAsia"/>
          <w:color w:val="auto"/>
        </w:rPr>
        <w:tab/>
      </w:r>
    </w:p>
    <w:p>
      <w:pPr>
        <w:rPr>
          <w:rFonts w:hint="eastAsia"/>
          <w:color w:val="auto"/>
        </w:rPr>
      </w:pPr>
      <w:r>
        <w:rPr>
          <w:rFonts w:hint="eastAsia"/>
          <w:color w:val="auto"/>
        </w:rPr>
        <w:t>中国3月新增人民币贷款(亿人民币)</w:t>
      </w:r>
      <w:r>
        <w:rPr>
          <w:rFonts w:hint="eastAsia"/>
          <w:color w:val="auto"/>
        </w:rPr>
        <w:tab/>
      </w:r>
      <w:r>
        <w:rPr>
          <w:rFonts w:hint="eastAsia"/>
          <w:color w:val="auto"/>
        </w:rPr>
        <w:t>1230</w:t>
      </w:r>
    </w:p>
    <w:p>
      <w:pPr>
        <w:rPr>
          <w:rFonts w:hint="eastAsia"/>
          <w:color w:val="auto"/>
        </w:rPr>
      </w:pPr>
    </w:p>
    <w:p>
      <w:pPr>
        <w:rPr>
          <w:rFonts w:hint="eastAsia"/>
          <w:color w:val="auto"/>
        </w:rPr>
      </w:pPr>
      <w:r>
        <w:rPr>
          <w:rFonts w:hint="eastAsia"/>
          <w:color w:val="auto"/>
        </w:rPr>
        <w:t>【证券指数思路】</w:t>
      </w:r>
    </w:p>
    <w:p>
      <w:pPr>
        <w:rPr>
          <w:rFonts w:hint="eastAsia"/>
          <w:color w:val="auto"/>
        </w:rPr>
      </w:pPr>
      <w:r>
        <w:rPr>
          <w:rFonts w:hint="eastAsia"/>
          <w:color w:val="auto"/>
        </w:rPr>
        <w:t xml:space="preserve">       沪指收报3251.85点，涨0.47%，成交额4140亿元。深成指收报11959.27点，跌0.11%，成交额5124亿元。创业板指收报2569.91点，跌0.33%，成交额1718亿元，拉锯行情依旧，谨慎日内短线思路没有改变，暂时不参与长线。</w:t>
      </w:r>
    </w:p>
    <w:p>
      <w:pPr>
        <w:rPr>
          <w:rFonts w:ascii="宋体" w:hAnsi="宋体" w:cs="宋体"/>
          <w:color w:val="auto"/>
          <w:kern w:val="0"/>
          <w:szCs w:val="21"/>
          <w:lang w:eastAsia="zh-CN"/>
        </w:rPr>
      </w:pPr>
    </w:p>
    <w:p>
      <w:pPr>
        <w:rPr>
          <w:rFonts w:ascii="宋体" w:hAnsi="宋体" w:cs="宋体"/>
          <w:color w:val="auto"/>
          <w:kern w:val="0"/>
          <w:szCs w:val="21"/>
          <w:lang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【分品种动态】</w:t>
      </w:r>
    </w:p>
    <w:p>
      <w:pPr>
        <w:jc w:val="center"/>
        <w:rPr>
          <w:rFonts w:ascii="黑体" w:eastAsia="黑体" w:cs="宋体"/>
          <w:color w:val="auto"/>
          <w:szCs w:val="21"/>
        </w:rPr>
      </w:pPr>
    </w:p>
    <w:p>
      <w:pPr>
        <w:jc w:val="center"/>
        <w:rPr>
          <w:rFonts w:ascii="黑体" w:eastAsia="黑体" w:cs="宋体"/>
          <w:color w:val="auto"/>
          <w:szCs w:val="21"/>
        </w:rPr>
      </w:pPr>
    </w:p>
    <w:p>
      <w:pPr>
        <w:jc w:val="center"/>
        <w:rPr>
          <w:rFonts w:ascii="黑体" w:eastAsia="黑体" w:cs="宋体"/>
          <w:color w:val="auto"/>
          <w:szCs w:val="21"/>
        </w:rPr>
      </w:pPr>
    </w:p>
    <w:p>
      <w:pPr>
        <w:jc w:val="center"/>
        <w:rPr>
          <w:rFonts w:ascii="黑体" w:eastAsia="黑体" w:cs="宋体"/>
          <w:color w:val="auto"/>
          <w:szCs w:val="21"/>
        </w:rPr>
      </w:pPr>
    </w:p>
    <w:p>
      <w:pPr>
        <w:rPr>
          <w:rFonts w:ascii="黑体" w:eastAsia="黑体" w:cs="宋体"/>
          <w:color w:val="auto"/>
          <w:szCs w:val="21"/>
        </w:rPr>
      </w:pPr>
    </w:p>
    <w:p>
      <w:pPr>
        <w:widowControl/>
        <w:jc w:val="left"/>
        <w:rPr>
          <w:color w:val="auto"/>
          <w:szCs w:val="21"/>
        </w:rPr>
      </w:pPr>
      <w:r>
        <w:rPr>
          <w:rFonts w:hint="eastAsia" w:ascii="黑体" w:eastAsia="黑体" w:cs="黑体"/>
          <w:color w:val="auto"/>
          <w:szCs w:val="21"/>
        </w:rPr>
        <w:t>◆农产品</w:t>
      </w:r>
    </w:p>
    <w:tbl>
      <w:tblPr>
        <w:tblStyle w:val="5"/>
        <w:tblW w:w="9004" w:type="dxa"/>
        <w:tblInd w:w="-15" w:type="dxa"/>
        <w:tblLayout w:type="fixed"/>
        <w:tblCellMar>
          <w:top w:w="0" w:type="dxa"/>
          <w:left w:w="108" w:type="dxa"/>
          <w:bottom w:w="0" w:type="dxa"/>
          <w:right w:w="108" w:type="dxa"/>
        </w:tblCellMar>
      </w:tblPr>
      <w:tblGrid>
        <w:gridCol w:w="549"/>
        <w:gridCol w:w="6405"/>
        <w:gridCol w:w="2050"/>
      </w:tblGrid>
      <w:tr>
        <w:tblPrEx>
          <w:tblLayout w:type="fixed"/>
          <w:tblCellMar>
            <w:top w:w="0" w:type="dxa"/>
            <w:left w:w="108" w:type="dxa"/>
            <w:bottom w:w="0" w:type="dxa"/>
            <w:right w:w="108" w:type="dxa"/>
          </w:tblCellMar>
        </w:tblPrEx>
        <w:trPr>
          <w:trHeight w:val="532"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olor w:val="auto"/>
                <w:szCs w:val="21"/>
              </w:rPr>
            </w:pPr>
          </w:p>
        </w:tc>
        <w:tc>
          <w:tcPr>
            <w:tcW w:w="6405" w:type="dxa"/>
            <w:tcBorders>
              <w:top w:val="single" w:color="000000" w:sz="4" w:space="0"/>
              <w:left w:val="single" w:color="000000" w:sz="4" w:space="0"/>
              <w:bottom w:val="single" w:color="000000" w:sz="4" w:space="0"/>
              <w:right w:val="nil"/>
            </w:tcBorders>
            <w:vAlign w:val="center"/>
          </w:tcPr>
          <w:p>
            <w:pPr>
              <w:widowControl/>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rPr>
                <w:rFonts w:ascii="宋体" w:hAnsi="宋体"/>
                <w:b/>
                <w:color w:val="auto"/>
                <w:szCs w:val="21"/>
              </w:rPr>
            </w:pPr>
            <w:r>
              <w:rPr>
                <w:rFonts w:hint="eastAsia" w:ascii="宋体" w:hAnsi="宋体" w:cs="宋体"/>
                <w:b/>
                <w:color w:val="auto"/>
                <w:szCs w:val="21"/>
              </w:rPr>
              <w:t>简评及操作策略</w:t>
            </w:r>
          </w:p>
        </w:tc>
      </w:tr>
      <w:tr>
        <w:tblPrEx>
          <w:tblLayout w:type="fixed"/>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s="宋体"/>
                <w:b/>
                <w:color w:val="auto"/>
                <w:kern w:val="0"/>
                <w:szCs w:val="21"/>
                <w:lang w:eastAsia="zh-CN"/>
              </w:rPr>
            </w:pPr>
            <w:r>
              <w:rPr>
                <w:rFonts w:hint="eastAsia" w:ascii="宋体" w:hAnsi="宋体" w:cs="宋体"/>
                <w:b/>
                <w:color w:val="auto"/>
                <w:kern w:val="0"/>
                <w:szCs w:val="21"/>
                <w:lang w:eastAsia="zh-CN"/>
              </w:rPr>
              <w:t>豆粕</w:t>
            </w:r>
          </w:p>
        </w:tc>
        <w:tc>
          <w:tcPr>
            <w:tcW w:w="6405" w:type="dxa"/>
            <w:tcBorders>
              <w:top w:val="single" w:color="000000" w:sz="4" w:space="0"/>
              <w:left w:val="single" w:color="000000" w:sz="4" w:space="0"/>
              <w:bottom w:val="single" w:color="000000" w:sz="4" w:space="0"/>
              <w:right w:val="nil"/>
            </w:tcBorders>
          </w:tcPr>
          <w:p>
            <w:pPr>
              <w:ind w:firstLine="840" w:firstLineChars="400"/>
              <w:rPr>
                <w:rFonts w:hint="eastAsia" w:eastAsia="宋体"/>
                <w:color w:val="auto"/>
                <w:lang w:val="en-US" w:eastAsia="zh-CN"/>
              </w:rPr>
            </w:pPr>
            <w:r>
              <w:rPr>
                <w:rFonts w:hint="eastAsia"/>
                <w:color w:val="auto"/>
              </w:rPr>
              <w:t>上周末外围美元收涨于98.83部位；人民币离岸价收贬于6.366。欧美股市涨跌互现。投资者纠结于如何应对美联储为应对通胀而采取激进政策给经济带来的影响。NYMEX5月原油上涨2.23美元，结算价报每桶98.26美元。但在各国宣布计划释放战略石油储备后，油价连续第二周下跌。芝加哥(CBOT)大豆上周五攀升，分析师表示，受美国农业部下调南美产量和美豆年末库存预估提振。CBOT 5月大豆上涨43-1/2美分，结算价报每蒲式耳16.89美元。5月豆粕上涨8.00美元，结算价报每短吨468.20美元；5月豆油上涨2.10美分，结算价报每磅75.12美分。CBOT交投最活跃大豆合约收于其20日和50日均线上方。上周，5月大豆上涨6.7%，录得2021年7月2日以来的最大单周涨幅。美国农业部上周五公布的4月供需报告显示，美国2021/22年度大豆年末库存预估下调至2.6亿蒲式耳，下调原因为巴西歉收刺激了对美国供应的出口需求，此前市场预估为2.62亿蒲式耳，3月预估为2.85亿蒲式耳。供需报告显示，美国2021/22年度大豆出口量预估上调至21.15亿蒲式耳，3月预估为20.9亿蒲式耳。该机构将巴西2021/22年度大豆出口预估调降了275万吨，至8,275万吨。阿根廷2021/22年度大豆产量预估维持在4,350万吨，市场此前预估为4,283万吨，3月报告预估为4,350万吨。全球2021/22年度大豆年末库存预估下调至8,958万吨，此前市场预估为8,879万吨，3月预估为8,996万吨。全球2021/22年度大豆产量预估下调至3.5072亿吨，3月预估为3.538亿吨。中国国家粮食交易中心上周五发布公告，将于4月15日13:30竞价交易50万吨进口大豆。</w:t>
            </w:r>
          </w:p>
        </w:tc>
        <w:tc>
          <w:tcPr>
            <w:tcW w:w="2050" w:type="dxa"/>
            <w:tcBorders>
              <w:top w:val="single" w:color="000000" w:sz="4" w:space="0"/>
              <w:left w:val="single" w:color="000000" w:sz="4" w:space="0"/>
              <w:bottom w:val="single" w:color="000000" w:sz="4" w:space="0"/>
              <w:right w:val="single" w:color="000000" w:sz="4" w:space="0"/>
            </w:tcBorders>
          </w:tcPr>
          <w:p>
            <w:pPr>
              <w:widowControl/>
              <w:suppressAutoHyphens w:val="0"/>
              <w:jc w:val="left"/>
              <w:rPr>
                <w:rFonts w:hint="eastAsia"/>
                <w:b/>
                <w:color w:val="auto"/>
                <w:lang w:eastAsia="zh-CN"/>
              </w:rPr>
            </w:pPr>
            <w:r>
              <w:rPr>
                <w:rFonts w:hint="eastAsia"/>
                <w:b/>
                <w:color w:val="auto"/>
                <w:lang w:eastAsia="zh-CN"/>
              </w:rPr>
              <w:t>框架如前，美豆在四月数据利多预期兑现后区间内走高。报告基本符合之前分析师平均数据。大连盘被动跟随。9月油粕比在2.69；粕5－9逆差在87点。粕9日内看3950－4000的波动，宜灵活。</w:t>
            </w:r>
          </w:p>
          <w:p>
            <w:pPr>
              <w:widowControl/>
              <w:suppressAutoHyphens w:val="0"/>
              <w:jc w:val="left"/>
              <w:rPr>
                <w:rFonts w:hint="eastAsia"/>
                <w:b/>
                <w:color w:val="auto"/>
                <w:lang w:eastAsia="zh-CN"/>
              </w:rPr>
            </w:pPr>
            <w:r>
              <w:rPr>
                <w:rFonts w:hint="eastAsia"/>
                <w:b/>
                <w:color w:val="auto"/>
                <w:lang w:eastAsia="zh-CN"/>
              </w:rPr>
              <w:t>　　</w:t>
            </w:r>
          </w:p>
          <w:p>
            <w:pPr>
              <w:widowControl/>
              <w:suppressAutoHyphens w:val="0"/>
              <w:jc w:val="left"/>
              <w:rPr>
                <w:b/>
                <w:color w:val="auto"/>
                <w:lang w:eastAsia="zh-CN"/>
              </w:rPr>
            </w:pPr>
            <w:r>
              <w:rPr>
                <w:rFonts w:hint="eastAsia"/>
                <w:b/>
                <w:color w:val="FF0000"/>
                <w:lang w:eastAsia="zh-CN"/>
              </w:rPr>
              <w:t>（农产品</w:t>
            </w:r>
            <w:r>
              <w:rPr>
                <w:rFonts w:hint="eastAsia"/>
                <w:b/>
                <w:color w:val="auto"/>
                <w:lang w:eastAsia="zh-CN"/>
              </w:rPr>
              <w:t>部）</w:t>
            </w:r>
          </w:p>
        </w:tc>
      </w:tr>
      <w:tr>
        <w:tblPrEx>
          <w:tblLayout w:type="fixed"/>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vAlign w:val="top"/>
          </w:tcPr>
          <w:p>
            <w:pPr>
              <w:widowControl/>
              <w:snapToGrid w:val="0"/>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棉花</w:t>
            </w:r>
          </w:p>
        </w:tc>
        <w:tc>
          <w:tcPr>
            <w:tcW w:w="6405" w:type="dxa"/>
            <w:tcBorders>
              <w:top w:val="single" w:color="000000" w:sz="4" w:space="0"/>
              <w:left w:val="single" w:color="000000" w:sz="4" w:space="0"/>
              <w:bottom w:val="single" w:color="000000" w:sz="4" w:space="0"/>
              <w:right w:val="nil"/>
            </w:tcBorders>
            <w:vAlign w:val="top"/>
          </w:tcPr>
          <w:p>
            <w:pPr>
              <w:ind w:firstLine="840" w:firstLineChars="400"/>
              <w:rPr>
                <w:rFonts w:hint="eastAsia" w:ascii="Times New Roman" w:hAnsi="Times New Roman" w:eastAsia="宋体" w:cs="Times New Roman"/>
                <w:color w:val="auto"/>
                <w:kern w:val="2"/>
                <w:sz w:val="21"/>
                <w:lang w:val="en-US" w:eastAsia="zh-CN" w:bidi="ar-SA"/>
              </w:rPr>
            </w:pPr>
            <w:r>
              <w:rPr>
                <w:rFonts w:hint="eastAsia"/>
              </w:rPr>
              <w:t>USDA报告偏空，美棉弱势震荡，7月价格在131美分附近。国内郑棉窄幅震荡，5月最新价格在21630元。从全球供需格局来看，美国农业部发布了4月全球棉花供需报告。4月全球产量预测值为2617万吨，环比增加7.5万吨，增幅为0.3%。巴基斯坦为调增国家，产量预测值为130.6万吨。在近半年的供需报告中，USDA首次下调对全球棉花消费的预期，全球消费调减10.1万吨至2701.4万吨。全球期末库存上调17.5万吨至1815.3万吨。整体来看本次供需报告中性偏空，虽然数值的调整幅度不大，但各项指标有趋弱的迹象。截止4月1日，oncall未销售合约量14.5万张，减少1978张。国内棉花原料销售普遍在30-50%，比去年期低40%，有企业降价销售，但成交一般；消费端低迷，疫情下物流受控，纺织厂采购谨慎；棉涤替代效应在起作用；国外印度/巴基斯坦原料价格高，不过高原料传导遇阻。综上，美元走强，压制大宗商品，全球消费首次调降，美棉有走弱迹象。国内疫情下，需求抑制加剧。</w:t>
            </w:r>
          </w:p>
        </w:tc>
        <w:tc>
          <w:tcPr>
            <w:tcW w:w="2050" w:type="dxa"/>
            <w:tcBorders>
              <w:top w:val="single" w:color="000000" w:sz="4" w:space="0"/>
              <w:left w:val="single" w:color="000000" w:sz="4" w:space="0"/>
              <w:bottom w:val="single" w:color="000000" w:sz="4" w:space="0"/>
              <w:right w:val="single" w:color="000000" w:sz="4" w:space="0"/>
            </w:tcBorders>
            <w:vAlign w:val="top"/>
          </w:tcPr>
          <w:p>
            <w:pPr>
              <w:widowControl/>
              <w:suppressAutoHyphens w:val="0"/>
              <w:jc w:val="left"/>
              <w:rPr>
                <w:rFonts w:hint="eastAsia"/>
                <w:b/>
                <w:color w:val="auto"/>
                <w:lang w:eastAsia="zh-CN"/>
              </w:rPr>
            </w:pPr>
            <w:r>
              <w:rPr>
                <w:rFonts w:hint="eastAsia"/>
              </w:rPr>
              <w:t>操作上，郑棉震荡偏弱对待，中长线空单续持。</w:t>
            </w:r>
          </w:p>
          <w:p>
            <w:pPr>
              <w:widowControl/>
              <w:suppressAutoHyphens w:val="0"/>
              <w:jc w:val="left"/>
              <w:rPr>
                <w:rFonts w:hint="eastAsia"/>
                <w:b/>
                <w:color w:val="auto"/>
                <w:lang w:eastAsia="zh-CN"/>
              </w:rPr>
            </w:pPr>
          </w:p>
          <w:p>
            <w:pPr>
              <w:widowControl/>
              <w:suppressAutoHyphens w:val="0"/>
              <w:jc w:val="left"/>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苗玲</w:t>
            </w:r>
            <w:r>
              <w:rPr>
                <w:rFonts w:hint="eastAsia"/>
                <w:b/>
                <w:color w:val="auto"/>
                <w:lang w:eastAsia="zh-CN"/>
              </w:rPr>
              <w:t>）</w:t>
            </w:r>
          </w:p>
        </w:tc>
      </w:tr>
    </w:tbl>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bookmarkStart w:id="0" w:name="_GoBack"/>
      <w:bookmarkEnd w:id="0"/>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sectPr>
          <w:headerReference r:id="rId3" w:type="default"/>
          <w:footerReference r:id="rId4" w:type="default"/>
          <w:pgSz w:w="11906" w:h="16838"/>
          <w:pgMar w:top="907" w:right="1797" w:bottom="1134" w:left="1797" w:header="510" w:footer="992" w:gutter="0"/>
          <w:cols w:space="720" w:num="1"/>
          <w:docGrid w:type="lines" w:linePitch="312" w:charSpace="0"/>
        </w:sectPr>
      </w:pPr>
      <w:r>
        <w:rPr>
          <w:rFonts w:hint="eastAsia" w:ascii="黑体" w:eastAsia="黑体" w:cs="宋体"/>
          <w:color w:val="auto"/>
          <w:szCs w:val="21"/>
        </w:rPr>
        <w:t>◆工业品</w:t>
      </w:r>
    </w:p>
    <w:p>
      <w:pPr>
        <w:rPr>
          <w:color w:val="auto"/>
          <w:szCs w:val="21"/>
        </w:rPr>
        <w:sectPr>
          <w:type w:val="continuous"/>
          <w:pgSz w:w="11906" w:h="16838"/>
          <w:pgMar w:top="1440" w:right="1797" w:bottom="1134" w:left="1797" w:header="851" w:footer="992" w:gutter="0"/>
          <w:cols w:space="720" w:num="1"/>
          <w:docGrid w:type="lines" w:linePitch="312" w:charSpace="0"/>
        </w:sectPr>
      </w:pPr>
    </w:p>
    <w:tbl>
      <w:tblPr>
        <w:tblStyle w:val="5"/>
        <w:tblW w:w="8994" w:type="dxa"/>
        <w:tblInd w:w="0" w:type="dxa"/>
        <w:tblLayout w:type="fixed"/>
        <w:tblCellMar>
          <w:top w:w="0" w:type="dxa"/>
          <w:left w:w="108" w:type="dxa"/>
          <w:bottom w:w="0" w:type="dxa"/>
          <w:right w:w="108" w:type="dxa"/>
        </w:tblCellMar>
      </w:tblPr>
      <w:tblGrid>
        <w:gridCol w:w="534"/>
        <w:gridCol w:w="6410"/>
        <w:gridCol w:w="2050"/>
      </w:tblGrid>
      <w:tr>
        <w:tblPrEx>
          <w:tblLayout w:type="fixed"/>
          <w:tblCellMar>
            <w:top w:w="0" w:type="dxa"/>
            <w:left w:w="108" w:type="dxa"/>
            <w:bottom w:w="0" w:type="dxa"/>
            <w:right w:w="108" w:type="dxa"/>
          </w:tblCellMar>
        </w:tblPrEx>
        <w:trPr>
          <w:cantSplit/>
          <w:trHeight w:val="480" w:hRule="atLeast"/>
        </w:trPr>
        <w:tc>
          <w:tcPr>
            <w:tcW w:w="534" w:type="dxa"/>
            <w:tcBorders>
              <w:top w:val="single" w:color="000000" w:sz="4" w:space="0"/>
              <w:left w:val="single" w:color="000000" w:sz="4" w:space="0"/>
              <w:bottom w:val="single" w:color="000000" w:sz="4" w:space="0"/>
              <w:right w:val="nil"/>
            </w:tcBorders>
          </w:tcPr>
          <w:p>
            <w:pPr>
              <w:widowControl/>
              <w:snapToGrid w:val="0"/>
              <w:jc w:val="left"/>
              <w:rPr>
                <w:rFonts w:ascii="宋体" w:hAnsi="宋体" w:cs="黑体"/>
                <w:color w:val="auto"/>
                <w:szCs w:val="21"/>
              </w:rPr>
            </w:pPr>
          </w:p>
        </w:tc>
        <w:tc>
          <w:tcPr>
            <w:tcW w:w="6410" w:type="dxa"/>
            <w:tcBorders>
              <w:top w:val="single" w:color="000000" w:sz="4" w:space="0"/>
              <w:left w:val="single" w:color="000000" w:sz="4" w:space="0"/>
              <w:bottom w:val="single" w:color="000000" w:sz="4" w:space="0"/>
              <w:right w:val="nil"/>
            </w:tcBorders>
            <w:vAlign w:val="center"/>
          </w:tcPr>
          <w:p>
            <w:pPr>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b/>
                <w:color w:val="auto"/>
                <w:szCs w:val="21"/>
              </w:rPr>
            </w:pPr>
            <w:r>
              <w:rPr>
                <w:rFonts w:hint="eastAsia" w:ascii="宋体" w:hAnsi="宋体" w:cs="宋体"/>
                <w:b/>
                <w:color w:val="auto"/>
                <w:szCs w:val="21"/>
              </w:rPr>
              <w:t>简评及操作策略</w:t>
            </w:r>
          </w:p>
        </w:tc>
      </w:tr>
      <w:tr>
        <w:tblPrEx>
          <w:tblLayout w:type="fixed"/>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hint="default" w:ascii="宋体" w:hAnsi="宋体" w:cs="宋体"/>
                <w:b/>
                <w:color w:val="auto"/>
                <w:kern w:val="0"/>
                <w:szCs w:val="21"/>
                <w:lang w:val="en-US" w:eastAsia="zh-CN"/>
              </w:rPr>
            </w:pPr>
            <w:r>
              <w:rPr>
                <w:rFonts w:hint="eastAsia" w:ascii="宋体" w:hAnsi="宋体" w:cs="宋体"/>
                <w:b/>
                <w:color w:val="auto"/>
                <w:kern w:val="0"/>
                <w:szCs w:val="21"/>
                <w:lang w:val="en-US" w:eastAsia="zh-CN"/>
              </w:rPr>
              <w:t>钢材</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钢材周五夜盘价格震荡回落，螺纹2210合约收于4970，热卷2210合约收于5150。现货方面，8日唐山普方坯出厂价报4830（-50），上海地区螺纹钢现货价格(HRB400 20mm)5090元（-10），热卷现货价格(4.75mm)5180元（-40）。</w:t>
            </w:r>
          </w:p>
          <w:p>
            <w:pPr>
              <w:widowControl/>
              <w:suppressAutoHyphens w:val="0"/>
              <w:ind w:firstLine="630" w:firstLineChars="300"/>
              <w:jc w:val="left"/>
              <w:rPr>
                <w:rFonts w:hint="eastAsia"/>
                <w:color w:val="auto"/>
              </w:rPr>
            </w:pPr>
            <w:r>
              <w:rPr>
                <w:rFonts w:hint="eastAsia"/>
                <w:color w:val="auto"/>
              </w:rPr>
              <w:t>中共中央政治局常委、国务院总理李克强主持召开经济形势专家和企业家座谈会。李克强说，当前国际国内环境有些突发因素超出预期，经济运行面临更大不确定性和挑战。政策要靠前发力，适时加力，并研究新预案。</w:t>
            </w:r>
          </w:p>
          <w:p>
            <w:pPr>
              <w:widowControl/>
              <w:suppressAutoHyphens w:val="0"/>
              <w:ind w:firstLine="630" w:firstLineChars="300"/>
              <w:jc w:val="left"/>
              <w:rPr>
                <w:rFonts w:hint="eastAsia"/>
                <w:color w:val="auto"/>
              </w:rPr>
            </w:pPr>
            <w:r>
              <w:rPr>
                <w:rFonts w:hint="eastAsia"/>
                <w:color w:val="auto"/>
              </w:rPr>
              <w:t>水利部政策法规司司长张祥伟在吹风会上表示，今年1-3月，水利投资完成1077亿元，同比增长35%。</w:t>
            </w:r>
          </w:p>
          <w:p>
            <w:pPr>
              <w:widowControl/>
              <w:suppressAutoHyphens w:val="0"/>
              <w:ind w:firstLine="630" w:firstLineChars="300"/>
              <w:jc w:val="left"/>
              <w:rPr>
                <w:rFonts w:hint="eastAsia"/>
                <w:color w:val="auto"/>
              </w:rPr>
            </w:pPr>
            <w:r>
              <w:rPr>
                <w:rFonts w:hint="eastAsia"/>
                <w:color w:val="auto"/>
              </w:rPr>
              <w:t>据中国工程机械工业协会对22家装载机制造企业统计，2022年3月销售各类装载机15309台，环比增长72.36%，同比下降32.8%。</w:t>
            </w:r>
          </w:p>
          <w:p>
            <w:pPr>
              <w:widowControl/>
              <w:suppressAutoHyphens w:val="0"/>
              <w:ind w:firstLine="630" w:firstLineChars="300"/>
              <w:jc w:val="left"/>
              <w:rPr>
                <w:rFonts w:hint="eastAsia"/>
                <w:color w:val="auto"/>
              </w:rPr>
            </w:pPr>
            <w:r>
              <w:rPr>
                <w:rFonts w:hint="eastAsia"/>
                <w:color w:val="auto"/>
              </w:rPr>
              <w:t>4月10日晚，河北省唐山市新冠肺炎疫情防控工作总指挥部办公室发布通告，全市自4月11日零时起，解除市域内临时性封控管理，逐步有序恢复正常生产生活秩序。</w:t>
            </w:r>
          </w:p>
          <w:p>
            <w:pPr>
              <w:widowControl/>
              <w:suppressAutoHyphens w:val="0"/>
              <w:ind w:firstLine="630" w:firstLineChars="300"/>
              <w:jc w:val="left"/>
              <w:rPr>
                <w:rFonts w:hint="eastAsia" w:eastAsia="宋体"/>
                <w:color w:val="auto"/>
                <w:lang w:val="en-US" w:eastAsia="zh-CN"/>
              </w:rPr>
            </w:pPr>
            <w:r>
              <w:rPr>
                <w:rFonts w:hint="eastAsia"/>
                <w:color w:val="auto"/>
              </w:rPr>
              <w:t>本周唐山等地区的疫情影响逐渐淡去，推动产量回升，但消费端周度回落，导致钢材整体库存逆季节性增加。整体看钢材市场北方地区疫情影响减弱，封控逐步解除下产量上升，但南方的疫情仍然严峻，消费端仍然受到影响。房地产虽然国家层面政策宽松较为明显，但从目前1季度的销售数据看，整体还处在下行状态，钢材价格主要受到成本端支持和预期抬升的影响。短期内由于周度库存回升，消费整体弱势的影响，预计钢材价格将偏弱调整</w:t>
            </w:r>
            <w:r>
              <w:rPr>
                <w:rFonts w:hint="eastAsia"/>
                <w:color w:val="auto"/>
                <w:lang w:eastAsia="zh-CN"/>
              </w:rPr>
              <w:t>。</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建议短线操作或观望。</w:t>
            </w:r>
          </w:p>
          <w:p>
            <w:pPr>
              <w:rPr>
                <w:rFonts w:hint="eastAsia"/>
                <w:b/>
                <w:color w:val="FF0000"/>
                <w:lang w:eastAsia="zh-CN"/>
              </w:rPr>
            </w:pPr>
          </w:p>
          <w:p>
            <w:pPr>
              <w:rPr>
                <w:b/>
                <w:color w:val="auto"/>
                <w:lang w:eastAsia="zh-CN"/>
              </w:rPr>
            </w:pPr>
            <w:r>
              <w:rPr>
                <w:rFonts w:hint="eastAsia"/>
                <w:b/>
                <w:color w:val="FF0000"/>
                <w:lang w:eastAsia="zh-CN"/>
              </w:rPr>
              <w:t>(黄天罡)</w:t>
            </w:r>
          </w:p>
        </w:tc>
      </w:tr>
      <w:tr>
        <w:tblPrEx>
          <w:tblLayout w:type="fixed"/>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铁矿石</w:t>
            </w:r>
          </w:p>
        </w:tc>
        <w:tc>
          <w:tcPr>
            <w:tcW w:w="6410" w:type="dxa"/>
            <w:tcBorders>
              <w:top w:val="single" w:color="000000" w:sz="4" w:space="0"/>
              <w:left w:val="single" w:color="000000" w:sz="4" w:space="0"/>
              <w:bottom w:val="single" w:color="000000" w:sz="4" w:space="0"/>
              <w:right w:val="nil"/>
            </w:tcBorders>
          </w:tcPr>
          <w:p>
            <w:pPr>
              <w:widowControl/>
              <w:suppressAutoHyphens w:val="0"/>
              <w:jc w:val="left"/>
              <w:rPr>
                <w:rFonts w:hint="eastAsia"/>
                <w:color w:val="auto"/>
              </w:rPr>
            </w:pPr>
            <w:r>
              <w:rPr>
                <w:rFonts w:hint="cs"/>
                <w:color w:val="auto"/>
              </w:rPr>
              <w:t xml:space="preserve"> </w:t>
            </w:r>
            <w:r>
              <w:rPr>
                <w:color w:val="auto"/>
              </w:rPr>
              <w:t xml:space="preserve">  </w:t>
            </w:r>
            <w:r>
              <w:rPr>
                <w:rFonts w:hint="eastAsia"/>
                <w:color w:val="auto"/>
              </w:rPr>
              <w:t xml:space="preserve"> 全国45个港口进口铁矿库存为15225.85，环比降163.17；</w:t>
            </w:r>
          </w:p>
          <w:p>
            <w:pPr>
              <w:widowControl/>
              <w:suppressAutoHyphens w:val="0"/>
              <w:jc w:val="left"/>
              <w:rPr>
                <w:rFonts w:hint="eastAsia"/>
                <w:color w:val="auto"/>
              </w:rPr>
            </w:pPr>
            <w:r>
              <w:rPr>
                <w:rFonts w:hint="eastAsia"/>
                <w:color w:val="auto"/>
              </w:rPr>
              <w:t xml:space="preserve">    日均疏港量301.50增32.31。</w:t>
            </w:r>
          </w:p>
          <w:p>
            <w:pPr>
              <w:widowControl/>
              <w:suppressAutoHyphens w:val="0"/>
              <w:jc w:val="left"/>
              <w:rPr>
                <w:rFonts w:hint="eastAsia"/>
                <w:color w:val="auto"/>
              </w:rPr>
            </w:pPr>
            <w:r>
              <w:rPr>
                <w:rFonts w:hint="eastAsia"/>
                <w:color w:val="auto"/>
              </w:rPr>
              <w:t xml:space="preserve">    247家钢厂高炉开工率79.27%，环比上周增加1.82%，同比去年下降4.59%；</w:t>
            </w:r>
          </w:p>
          <w:p>
            <w:pPr>
              <w:widowControl/>
              <w:suppressAutoHyphens w:val="0"/>
              <w:jc w:val="left"/>
              <w:rPr>
                <w:rFonts w:hint="eastAsia"/>
                <w:color w:val="auto"/>
              </w:rPr>
            </w:pPr>
            <w:r>
              <w:rPr>
                <w:rFonts w:hint="eastAsia"/>
                <w:color w:val="auto"/>
              </w:rPr>
              <w:t xml:space="preserve">    高炉炼铁产能利用率84.95%，环比增加1.19%，同比下降2.25%；</w:t>
            </w:r>
          </w:p>
          <w:p>
            <w:pPr>
              <w:widowControl/>
              <w:suppressAutoHyphens w:val="0"/>
              <w:jc w:val="left"/>
              <w:rPr>
                <w:rFonts w:hint="eastAsia"/>
                <w:color w:val="auto"/>
              </w:rPr>
            </w:pPr>
            <w:r>
              <w:rPr>
                <w:rFonts w:hint="eastAsia"/>
                <w:color w:val="auto"/>
              </w:rPr>
              <w:t xml:space="preserve">    钢厂盈利率76.19%，环比增加1.30%，同比下降14.29%；</w:t>
            </w:r>
          </w:p>
          <w:p>
            <w:pPr>
              <w:widowControl/>
              <w:suppressAutoHyphens w:val="0"/>
              <w:jc w:val="left"/>
              <w:rPr>
                <w:rFonts w:hint="eastAsia"/>
                <w:color w:val="auto"/>
              </w:rPr>
            </w:pPr>
            <w:r>
              <w:rPr>
                <w:rFonts w:hint="eastAsia"/>
                <w:color w:val="auto"/>
              </w:rPr>
              <w:t xml:space="preserve">    日均铁水产量229.32万吨，环比增加3.21万吨，同比下降3.12万吨。</w:t>
            </w:r>
          </w:p>
          <w:p>
            <w:pPr>
              <w:widowControl/>
              <w:suppressAutoHyphens w:val="0"/>
              <w:jc w:val="left"/>
              <w:rPr>
                <w:rFonts w:hint="eastAsia" w:eastAsia="宋体"/>
                <w:color w:val="auto"/>
                <w:lang w:val="en-US" w:eastAsia="zh-CN"/>
              </w:rPr>
            </w:pPr>
            <w:r>
              <w:rPr>
                <w:rFonts w:hint="eastAsia"/>
                <w:color w:val="auto"/>
              </w:rPr>
              <w:t xml:space="preserve">    当前稳增长政策预期持续强化，市场对于远期的终端需求较为乐观；产业面来看，当前钢厂高炉仍处于复产过程中，进度较为缓慢，铁矿石供需边际改善，港口库存保持去库状态，上周港口库存继续大幅下降；但疫情扰动下终端需求持续疲弱对价格的压力显现，同时，钢铁低利润对高价格原料的压制也较为明显；市场在大幅上涨后高位回调压力显现，整体呈现高位区间震荡态势</w:t>
            </w:r>
            <w:r>
              <w:rPr>
                <w:rFonts w:hint="eastAsia"/>
                <w:color w:val="auto"/>
                <w:lang w:eastAsia="zh-CN"/>
              </w:rPr>
              <w:t>。</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建议短线或波段交易。</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FF0000"/>
                <w:lang w:eastAsia="zh-CN"/>
              </w:rPr>
              <w:t>杨俊林</w:t>
            </w:r>
            <w:r>
              <w:rPr>
                <w:rFonts w:hint="eastAsia"/>
                <w:b/>
                <w:color w:val="auto"/>
                <w:lang w:eastAsia="zh-CN"/>
              </w:rPr>
              <w:t>)</w:t>
            </w:r>
          </w:p>
        </w:tc>
      </w:tr>
      <w:tr>
        <w:tblPrEx>
          <w:tblLayout w:type="fixed"/>
          <w:tblCellMar>
            <w:top w:w="0" w:type="dxa"/>
            <w:left w:w="108" w:type="dxa"/>
            <w:bottom w:w="0" w:type="dxa"/>
            <w:right w:w="108" w:type="dxa"/>
          </w:tblCellMar>
        </w:tblPrEx>
        <w:trPr>
          <w:cantSplit/>
          <w:trHeight w:val="4922"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煤焦</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rPr>
            </w:pPr>
            <w:r>
              <w:rPr>
                <w:rFonts w:hint="eastAsia"/>
              </w:rPr>
              <w:t>现货市场， 双焦现货价格持稳向好，焦炭新一轮提涨逐步落地。山西介休1.3硫主焦2600元/吨，蒙5金泉提货价2950元/吨（+50），澳煤到岸价399美元/吨（-2）；吕梁准一出厂价3350元/吨，唐山二级焦到厂价3650元/吨（+200），青岛港准一焦平仓价3600元/吨。</w:t>
            </w:r>
          </w:p>
          <w:p>
            <w:pPr>
              <w:widowControl/>
              <w:suppressAutoHyphens w:val="0"/>
              <w:ind w:firstLine="630" w:firstLineChars="300"/>
              <w:jc w:val="left"/>
              <w:rPr>
                <w:rFonts w:hint="eastAsia"/>
              </w:rPr>
            </w:pPr>
            <w:r>
              <w:rPr>
                <w:rFonts w:hint="eastAsia"/>
              </w:rPr>
              <w:t>交通运输部召开物流保障协调工作机制会议会议强调，要针对当前货运物流存在的突出问题，立即部署落实务实有效举措，确保“一断三不断”，严禁在高速公路主线和服务区设置防疫检测点，严禁擅自关停高速公路服务区，确保全国交通运输干线畅通。</w:t>
            </w:r>
          </w:p>
          <w:p>
            <w:pPr>
              <w:widowControl/>
              <w:suppressAutoHyphens w:val="0"/>
              <w:ind w:firstLine="630" w:firstLineChars="300"/>
              <w:jc w:val="left"/>
              <w:rPr>
                <w:rFonts w:hint="eastAsia"/>
              </w:rPr>
            </w:pPr>
            <w:r>
              <w:rPr>
                <w:rFonts w:hint="eastAsia"/>
              </w:rPr>
              <w:t>4月10日晚，河北省唐山市新冠肺炎疫情防控工作总指挥部办公室发布通告，全市自4月11日零时起，解除市域内临时性封控管理，逐步有序恢复正常生产生活秩序。</w:t>
            </w:r>
          </w:p>
          <w:p>
            <w:pPr>
              <w:widowControl/>
              <w:suppressAutoHyphens w:val="0"/>
              <w:ind w:firstLine="630" w:firstLineChars="300"/>
              <w:jc w:val="left"/>
              <w:rPr>
                <w:rFonts w:hint="eastAsia" w:eastAsia="宋体"/>
                <w:color w:val="auto"/>
                <w:lang w:val="en-US" w:eastAsia="zh-CN"/>
              </w:rPr>
            </w:pPr>
            <w:r>
              <w:rPr>
                <w:rFonts w:hint="eastAsia"/>
              </w:rPr>
              <w:t>近期在钢厂复产、补库预期推动下，双焦现货持稳向好，叠加稳增长预期，成本上行的正反馈逻辑推动期价持续反弹。目前双焦盘面升水现货，消化一轮提涨预期，焦点再度转移至现货对预期的兑现能力，同时疫情持续对物流造成阻碍，钢厂被迫降低开工，也对短期双焦需求造成影响。</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rPr>
            </w:pPr>
            <w:r>
              <w:rPr>
                <w:rFonts w:hint="eastAsia"/>
                <w:lang w:eastAsia="zh-CN"/>
              </w:rPr>
              <w:t>整体强预</w:t>
            </w:r>
            <w:r>
              <w:rPr>
                <w:rFonts w:hint="eastAsia"/>
              </w:rPr>
              <w:t>期等待现货验证的节奏，盘面预计高位震荡，注意节奏把握，暂时观望。</w:t>
            </w:r>
          </w:p>
          <w:p>
            <w:pPr>
              <w:rPr>
                <w:rFonts w:hint="eastAsia"/>
                <w:lang w:eastAsia="zh-CN"/>
              </w:rPr>
            </w:pPr>
          </w:p>
          <w:p>
            <w:pPr>
              <w:rPr>
                <w:b/>
                <w:color w:val="auto"/>
                <w:lang w:eastAsia="zh-CN"/>
              </w:rPr>
            </w:pPr>
            <w:r>
              <w:rPr>
                <w:rFonts w:hint="eastAsia"/>
                <w:b/>
                <w:color w:val="auto"/>
                <w:lang w:eastAsia="zh-CN"/>
              </w:rPr>
              <w:t>（李岩）</w:t>
            </w:r>
          </w:p>
        </w:tc>
      </w:tr>
      <w:tr>
        <w:tblPrEx>
          <w:tblLayout w:type="fixed"/>
          <w:tblCellMar>
            <w:top w:w="0" w:type="dxa"/>
            <w:left w:w="108" w:type="dxa"/>
            <w:bottom w:w="0" w:type="dxa"/>
            <w:right w:w="108" w:type="dxa"/>
          </w:tblCellMar>
        </w:tblPrEx>
        <w:trPr>
          <w:cantSplit/>
          <w:trHeight w:val="934"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铝</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lang w:val="en-US" w:eastAsia="zh-CN"/>
              </w:rPr>
            </w:pPr>
            <w:r>
              <w:rPr>
                <w:rFonts w:hint="eastAsia"/>
                <w:color w:val="auto"/>
                <w:lang w:val="en-US" w:eastAsia="zh-CN"/>
              </w:rPr>
              <w:t>上周五沪铝弱势运行，沪铝主力月2205合约收至21825元/吨，跌305元，跌幅1.38%。现货方面，长江现货A00铝报21770-21810元/吨，均价报21790元/吨，较前一交易日跌230元，贴水40-贴水80。现货市场交投降温，持货商变现积极，实际成交对网价转贴水成交。</w:t>
            </w:r>
          </w:p>
          <w:p>
            <w:pPr>
              <w:widowControl/>
              <w:suppressAutoHyphens w:val="0"/>
              <w:ind w:firstLine="630" w:firstLineChars="300"/>
              <w:jc w:val="left"/>
              <w:rPr>
                <w:rFonts w:hint="eastAsia"/>
                <w:color w:val="auto"/>
                <w:lang w:val="en-US" w:eastAsia="zh-CN"/>
              </w:rPr>
            </w:pPr>
            <w:r>
              <w:rPr>
                <w:rFonts w:hint="eastAsia"/>
                <w:color w:val="auto"/>
                <w:lang w:val="en-US" w:eastAsia="zh-CN"/>
              </w:rPr>
              <w:t>SMM数据显示，3月（31天）中国氧化铝产量654.8万吨，其中冶金级氧化铝634.2万吨，冶金级日均产量20.46万吨，环比增长20.42%。3月（31天）中国电解铝产331.5万吨，同比减少0.92%，日均产量10.69万吨，环比增长0.17万吨，同比减少0.1万吨。</w:t>
            </w:r>
          </w:p>
          <w:p>
            <w:pPr>
              <w:widowControl/>
              <w:suppressAutoHyphens w:val="0"/>
              <w:ind w:firstLine="630" w:firstLineChars="300"/>
              <w:jc w:val="left"/>
              <w:rPr>
                <w:color w:val="auto"/>
              </w:rPr>
            </w:pPr>
            <w:r>
              <w:rPr>
                <w:rFonts w:hint="eastAsia"/>
                <w:color w:val="auto"/>
                <w:lang w:val="en-US" w:eastAsia="zh-CN"/>
              </w:rPr>
              <w:t>目前西方国家不断对俄罗斯实施新的制裁，俄铝向外出口继续受阻，欧洲天然气价格有所回落但减产风险仍存，海外供应忧虑持续。国内云南、内蒙等地电解铝复产及新增产能投产提速，但产量难超去年同期，国内疫情蔓延干扰铝锭及氧化铝等原料运输效率。下游受疫情影响部分加工企业被迫减停产，需求复苏受阻，国内铝锭社库进入累库状态。短期需求疲软铝价上涨乏力，加上美联储鹰派言论致有色整体承压，而国内疫情短时间归零的可能性不大，运输难的问题也将持续干扰产业的正常运行，国内铝供需错配状态持续，铝价承压运行为主，持续关注疫情对产业链的影响。</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操作上观望或短线交易。</w:t>
            </w:r>
          </w:p>
          <w:p>
            <w:pPr>
              <w:rPr>
                <w:rFonts w:hint="eastAsia"/>
                <w:b/>
                <w:color w:val="auto"/>
                <w:lang w:eastAsia="zh-CN"/>
              </w:rPr>
            </w:pPr>
          </w:p>
          <w:p>
            <w:pPr>
              <w:rPr>
                <w:b/>
                <w:color w:val="auto"/>
                <w:lang w:eastAsia="zh-CN"/>
              </w:rPr>
            </w:pPr>
            <w:r>
              <w:rPr>
                <w:rFonts w:hint="eastAsia"/>
                <w:b/>
                <w:color w:val="FF0000"/>
                <w:lang w:eastAsia="zh-CN"/>
              </w:rPr>
              <w:t>（有色组）</w:t>
            </w:r>
          </w:p>
        </w:tc>
      </w:tr>
      <w:tr>
        <w:tblPrEx>
          <w:tblLayout w:type="fixed"/>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天胶</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rPr>
            </w:pPr>
            <w:r>
              <w:rPr>
                <w:rFonts w:hint="eastAsia"/>
              </w:rPr>
              <w:t>上周五欧美股市小幅反弹，海外主要市场情绪保持较为稳定的状态。国内疫情防控形势保持高压状态，继续拖累国内经济和天胶的需求，不过市场同时对政策面发力宽松抱有较高的期待。上周五国内工业品期货指回落，尤其化工品板块回落明显，对RU市场情绪带来一定压抑，不过由于相对于其他工业品的估值已经很低，RU与整体工业品板块之前再度呈现出短期的“跷跷板”状况，值得市场关注。行业方面，上周五泰国原料价格以小幅反弹为主，云南地区天气好转，原料产量开始放量，胶水收购价保持偏强状态，成本低价的支撑依旧存在。不过国内需求因疫情压制表现较差，现货市场业者购买谨慎，维持刚需为主，上海20年SCRWF主流价格在12750—12800元/吨；上海地区SVR3L参考价格在12850元/吨；云南市场国产10#胶参考价格11900—12200元/吨。</w:t>
            </w:r>
          </w:p>
          <w:p>
            <w:pPr>
              <w:widowControl/>
              <w:suppressAutoHyphens w:val="0"/>
              <w:ind w:firstLine="630" w:firstLineChars="300"/>
              <w:jc w:val="left"/>
              <w:rPr>
                <w:rFonts w:hint="eastAsia"/>
              </w:rPr>
            </w:pPr>
            <w:r>
              <w:rPr>
                <w:rFonts w:hint="eastAsia"/>
              </w:rPr>
              <w:t>技术面：上周五RU2209下探回升，13400-13500体现出明显的支撑，向下大幅开拓空间的难度较大，不过RU短期仍受到周四大跌的影响，短线反弹空间料受限，上方短期压力在13600-13700。</w:t>
            </w:r>
          </w:p>
          <w:p>
            <w:pPr>
              <w:widowControl/>
              <w:suppressAutoHyphens w:val="0"/>
              <w:ind w:firstLine="630" w:firstLineChars="300"/>
              <w:jc w:val="left"/>
              <w:rPr>
                <w:rFonts w:hint="eastAsia" w:eastAsia="宋体"/>
                <w:color w:val="auto"/>
                <w:lang w:eastAsia="zh-CN"/>
              </w:rPr>
            </w:pP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rPr>
            </w:pPr>
            <w:r>
              <w:rPr>
                <w:rFonts w:hint="eastAsia"/>
              </w:rPr>
              <w:t>操作建议：短线保持低位震荡思路，中线投资者考虑逢跌至低价左侧少量布局多单。</w:t>
            </w:r>
          </w:p>
          <w:p>
            <w:pPr>
              <w:rPr>
                <w:rFonts w:hint="eastAsia"/>
                <w:lang w:eastAsia="zh-CN"/>
              </w:rPr>
            </w:pPr>
          </w:p>
          <w:p>
            <w:pPr>
              <w:rPr>
                <w:b/>
                <w:color w:val="auto"/>
                <w:lang w:eastAsia="zh-CN"/>
              </w:rPr>
            </w:pPr>
            <w:r>
              <w:rPr>
                <w:rFonts w:hint="eastAsia"/>
                <w:b/>
                <w:color w:val="auto"/>
                <w:lang w:eastAsia="zh-CN"/>
              </w:rPr>
              <w:t>（王海峰）</w:t>
            </w:r>
          </w:p>
        </w:tc>
      </w:tr>
      <w:tr>
        <w:tblPrEx>
          <w:tblLayout w:type="fixed"/>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原油</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欧美市场，汽油裂解依然坚挺，柴油和航煤裂解回落，但仍处于同期高位，新加坡市场，汽油、柴油、航煤裂解依然保持强势，在历史高位徘徊，中国市场受疫情的影响，成品油裂解涨幅低于国外市场。根据俄罗斯能源部旗下CDU-TEK的数据，从4月1日到6日，俄罗斯平均原油日产量为143.6万吨，相当于每天约1052万桶，比3月日均1110万桶的水平减少4.5%。周三公布的EIA报告显示，上周美国国内原油产量增加10万桶至1180万桶/日。除却战略储备的商业原油库存增加242.1万桶至4.124亿桶，增加0.6%。有外媒称，周三，美国众议院能源调查委员会对埃克森美孚、英国石油、雪佛龙、壳牌美国分公司等6家公司的首席执行官进行质询，质询时间长达6小时。3月份中国独立炼油厂的进口从2月份的四个月低点回升6.7%至1405.5万吨，但这一趋势在4月份难以持续。国际能源署（IEA）确认全球释储规模达2.4亿桶。美国至4月1日当周EIA原油库存增加242.1万桶，预期减少205.6万桶，前值减少344.9万桶。上周美国国内原油产量增加10万桶至1180万桶/日。美国上周原油出口增加70.5万桶/日至369.3万桶/日。阿联酋Fujairah港石油产品库存降至七周低点，因为汽油和其他轻馏分油创下历史新低。圭亚那环境保护机构已批准埃克森美孚的海上Yellowtail项目，预计在2025年调试后达到满负荷生产时将生产25万桶/日。欧佩克月报显示，欧佩克2月份的石油产量增加了44万桶/日，达到2847万桶/日，超过了欧佩克+协议承诺的增产量。</w:t>
            </w:r>
          </w:p>
          <w:p>
            <w:pPr>
              <w:widowControl/>
              <w:suppressAutoHyphens w:val="0"/>
              <w:ind w:firstLine="630" w:firstLineChars="300"/>
              <w:jc w:val="left"/>
              <w:rPr>
                <w:rFonts w:hint="eastAsia" w:ascii="Times New Roman" w:hAnsi="Times New Roman" w:eastAsia="宋体" w:cs="Times New Roman"/>
                <w:color w:val="auto"/>
                <w:kern w:val="2"/>
                <w:sz w:val="21"/>
                <w:lang w:val="en-US" w:eastAsia="zh-CN" w:bidi="ar-SA"/>
              </w:rPr>
            </w:pPr>
            <w:r>
              <w:rPr>
                <w:rFonts w:hint="eastAsia"/>
                <w:color w:val="auto"/>
              </w:rPr>
              <w:t>操作建议:市场对需求前景依然看好，且认为国际能源署联合释放储备或抑制OPEC+及美国加速增产，国际油价反弹。NYMEX原油期货05合约98.26涨2.23美元/桶或2.32%；ICE布油期货06合约102.78涨2.20美元/桶或2.19%。</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操作思路以震荡偏空为主，关注布伦特原油震荡区间95-105美元/桶，注意止盈止损。</w:t>
            </w:r>
          </w:p>
          <w:p>
            <w:pPr>
              <w:rPr>
                <w:rFonts w:hint="eastAsia"/>
                <w:b/>
                <w:color w:val="auto"/>
                <w:lang w:eastAsia="zh-CN"/>
              </w:rPr>
            </w:pPr>
          </w:p>
          <w:p>
            <w:pPr>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FF0000"/>
                <w:lang w:val="en-US" w:eastAsia="zh-CN"/>
              </w:rPr>
              <w:t>黄世俊</w:t>
            </w:r>
            <w:r>
              <w:rPr>
                <w:rFonts w:hint="eastAsia"/>
                <w:b/>
                <w:color w:val="FF0000"/>
                <w:lang w:eastAsia="zh-CN"/>
              </w:rPr>
              <w:t>）</w:t>
            </w:r>
          </w:p>
        </w:tc>
      </w:tr>
    </w:tbl>
    <w:p>
      <w:pPr>
        <w:widowControl/>
        <w:jc w:val="left"/>
        <w:rPr>
          <w:rFonts w:ascii="黑体" w:eastAsia="黑体" w:cs="宋体"/>
          <w:color w:val="auto"/>
          <w:szCs w:val="21"/>
        </w:rPr>
      </w:pPr>
      <w:r>
        <w:rPr>
          <w:rFonts w:hint="eastAsia" w:ascii="黑体" w:eastAsia="黑体" w:cs="宋体"/>
          <w:color w:val="auto"/>
          <w:szCs w:val="21"/>
        </w:rPr>
        <w:t>本报告中的信息均来源于公开资料，我公司对这些信息的准确性和完整性不作任何保证，报告中的内容和意见仅供参考。我公司及员工对使用本报刊及其内容所引发的任何直接或间接损失概不负责。本报刊版权归道通期货所有。</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lang w:eastAsia="zh-CN"/>
      </w:rPr>
      <mc:AlternateContent>
        <mc:Choice Requires="wps">
          <w:drawing>
            <wp:anchor distT="0" distB="0" distL="0" distR="0" simplePos="0" relativeHeight="251659264" behindDoc="0" locked="0" layoutInCell="1" allowOverlap="1">
              <wp:simplePos x="0" y="0"/>
              <wp:positionH relativeFrom="page">
                <wp:posOffset>6361430</wp:posOffset>
              </wp:positionH>
              <wp:positionV relativeFrom="paragraph">
                <wp:posOffset>635</wp:posOffset>
              </wp:positionV>
              <wp:extent cx="246380" cy="124460"/>
              <wp:effectExtent l="8255" t="635" r="2540" b="8255"/>
              <wp:wrapSquare wrapText="largest"/>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6380" cy="124460"/>
                      </a:xfrm>
                      <a:prstGeom prst="rect">
                        <a:avLst/>
                      </a:prstGeom>
                      <a:solidFill>
                        <a:srgbClr val="FFFFFF">
                          <a:alpha val="0"/>
                        </a:srgbClr>
                      </a:solidFill>
                      <a:ln>
                        <a:noFill/>
                      </a:ln>
                      <a:effectLst/>
                    </wps:spPr>
                    <wps:txbx>
                      <w:txbxContent>
                        <w:p>
                          <w:pPr>
                            <w:pStyle w:val="2"/>
                          </w:pPr>
                          <w:r>
                            <w:fldChar w:fldCharType="begin"/>
                          </w:r>
                          <w:r>
                            <w:instrText xml:space="preserve"> PAGE </w:instrText>
                          </w:r>
                          <w:r>
                            <w:fldChar w:fldCharType="separate"/>
                          </w:r>
                          <w:r>
                            <w:t>6</w:t>
                          </w:r>
                          <w: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00.9pt;margin-top:0.05pt;height:9.8pt;width:19.4pt;mso-position-horizontal-relative:page;mso-wrap-distance-bottom:0pt;mso-wrap-distance-left:0pt;mso-wrap-distance-right:0pt;mso-wrap-distance-top:0pt;z-index:251659264;mso-width-relative:page;mso-height-relative:page;" fillcolor="#FFFFFF" filled="t" stroked="f" coordsize="21600,21600" o:gfxdata="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3FyU9QAAAAJAQAADwAAAAAAAAAB&#10;ACAAAAAiAAAAZHJzL2Rvd25yZXYueG1sUEsBAhQAFAAAAAgAh07iQA5V43QUAgAACgQAAA4AAAAA&#10;AAAAAQAgAAAAIwEAAGRycy9lMm9Eb2MueG1sUEsFBgAAAAAGAAYAWQEAAKkFAAAAAAAA&#10;">
              <v:fill on="t" opacity="0f" focussize="0,0"/>
              <v:stroke on="f"/>
              <v:imagedata o:title=""/>
              <o:lock v:ext="edit" aspectratio="f"/>
              <v:textbox inset="0mm,0mm,0mm,0mm">
                <w:txbxContent>
                  <w:p>
                    <w:pPr>
                      <w:pStyle w:val="2"/>
                    </w:pPr>
                    <w:r>
                      <w:fldChar w:fldCharType="begin"/>
                    </w:r>
                    <w:r>
                      <w:instrText xml:space="preserve"> PAGE </w:instrText>
                    </w:r>
                    <w:r>
                      <w:fldChar w:fldCharType="separate"/>
                    </w:r>
                    <w:r>
                      <w:t>6</w:t>
                    </w:r>
                    <w:r>
                      <w:fldChar w:fldCharType="end"/>
                    </w:r>
                  </w:p>
                </w:txbxContent>
              </v:textbox>
              <w10:wrap type="square" side="largest"/>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rPr>
      <w:drawing>
        <wp:inline distT="0" distB="0" distL="0" distR="0">
          <wp:extent cx="4343400" cy="647700"/>
          <wp:effectExtent l="0" t="0" r="0" b="0"/>
          <wp:docPr id="3" name="图片 3" descr="0141341712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14134171215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343400" cy="647700"/>
                  </a:xfrm>
                  <a:prstGeom prst="rect">
                    <a:avLst/>
                  </a:prstGeom>
                  <a:solidFill>
                    <a:srgbClr val="FFFFFF"/>
                  </a:solidFill>
                  <a:ln>
                    <a:noFill/>
                  </a:ln>
                  <a:effectLst/>
                </pic:spPr>
              </pic:pic>
            </a:graphicData>
          </a:graphic>
        </wp:inline>
      </w:drawing>
    </w:r>
    <w:r>
      <w:rPr>
        <w:rFonts w:hint="eastAsia"/>
        <w:b/>
        <w:sz w:val="24"/>
      </w:rPr>
      <w:t>研究所</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Times New Roman" w:hAnsi="Times New Roman" w:eastAsia="宋体" w:cs="Times New Roman"/>
      <w:kern w:val="2"/>
      <w:sz w:val="21"/>
      <w:lang w:val="en-US" w:eastAsia="ar-SA" w:bidi="ar-SA"/>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6"/>
    <w:qFormat/>
    <w:uiPriority w:val="0"/>
    <w:pPr>
      <w:tabs>
        <w:tab w:val="center" w:pos="4153"/>
        <w:tab w:val="right" w:pos="8306"/>
      </w:tabs>
      <w:snapToGrid w:val="0"/>
      <w:jc w:val="left"/>
    </w:pPr>
    <w:rPr>
      <w:sz w:val="18"/>
    </w:rPr>
  </w:style>
  <w:style w:type="paragraph" w:styleId="3">
    <w:name w:val="header"/>
    <w:basedOn w:val="1"/>
    <w:link w:val="7"/>
    <w:qFormat/>
    <w:uiPriority w:val="0"/>
    <w:pPr>
      <w:pBdr>
        <w:bottom w:val="single" w:color="000000" w:sz="4" w:space="1"/>
      </w:pBdr>
      <w:tabs>
        <w:tab w:val="center" w:pos="4153"/>
        <w:tab w:val="right" w:pos="8306"/>
      </w:tabs>
      <w:snapToGrid w:val="0"/>
      <w:jc w:val="center"/>
    </w:pPr>
    <w:rPr>
      <w:sz w:val="18"/>
    </w:rPr>
  </w:style>
  <w:style w:type="character" w:customStyle="1" w:styleId="6">
    <w:name w:val="页脚 字符"/>
    <w:basedOn w:val="4"/>
    <w:link w:val="2"/>
    <w:qFormat/>
    <w:uiPriority w:val="0"/>
    <w:rPr>
      <w:rFonts w:ascii="Times New Roman" w:hAnsi="Times New Roman" w:eastAsia="宋体" w:cs="Times New Roman"/>
      <w:sz w:val="18"/>
      <w:szCs w:val="20"/>
      <w:lang w:eastAsia="ar-SA"/>
    </w:rPr>
  </w:style>
  <w:style w:type="character" w:customStyle="1" w:styleId="7">
    <w:name w:val="页眉 字符"/>
    <w:basedOn w:val="4"/>
    <w:link w:val="3"/>
    <w:qFormat/>
    <w:uiPriority w:val="0"/>
    <w:rPr>
      <w:rFonts w:ascii="Times New Roman" w:hAnsi="Times New Roman" w:eastAsia="宋体" w:cs="Times New Roman"/>
      <w:sz w:val="18"/>
      <w:szCs w:val="20"/>
      <w:lang w:eastAsia="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845</Words>
  <Characters>4817</Characters>
  <Lines>40</Lines>
  <Paragraphs>11</Paragraphs>
  <TotalTime>0</TotalTime>
  <ScaleCrop>false</ScaleCrop>
  <LinksUpToDate>false</LinksUpToDate>
  <CharactersWithSpaces>5651</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2021-04-23T23:55:00Z</dcterms:created>
  <dc:creator>admin</dc:creator>
  <cp:lastModifiedBy>Dynamite Girl</cp:lastModifiedBy>
  <dcterms:modified xsi:type="dcterms:W3CDTF">2022-04-11T08:44:51Z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2052-11.22.1</vt:lpwstr>
  </property>
  <property fmtid="{D5CDD505-2E9C-101B-9397-08002B2CF9AE}" pid="3" name="ICV">
    <vt:lpwstr>241ED9DFB688474D48B653619F6A5D07</vt:lpwstr>
  </property>
</Properties>
</file>