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color w:val="auto"/>
          <w:kern w:val="0"/>
          <w:szCs w:val="21"/>
          <w:lang w:eastAsia="zh-CN"/>
        </w:rPr>
      </w:pPr>
      <w:r>
        <w:rPr>
          <w:rFonts w:hint="eastAsia" w:ascii="宋体" w:hAnsi="宋体" w:cs="宋体"/>
          <w:color w:val="auto"/>
          <w:kern w:val="0"/>
          <w:szCs w:val="21"/>
          <w:lang w:eastAsia="zh-CN"/>
        </w:rPr>
        <w:t>道通早报</w:t>
      </w:r>
    </w:p>
    <w:p>
      <w:pPr>
        <w:widowControl/>
        <w:jc w:val="right"/>
        <w:rPr>
          <w:rFonts w:ascii="宋体" w:hAnsi="宋体" w:cs="宋体"/>
          <w:color w:val="auto"/>
          <w:kern w:val="0"/>
          <w:szCs w:val="21"/>
          <w:lang w:eastAsia="zh-CN"/>
        </w:rPr>
      </w:pPr>
      <w:r>
        <w:rPr>
          <w:rFonts w:hint="eastAsia" w:ascii="宋体" w:hAnsi="宋体" w:cs="宋体"/>
          <w:color w:val="auto"/>
          <w:kern w:val="0"/>
          <w:szCs w:val="21"/>
          <w:lang w:eastAsia="zh-CN"/>
        </w:rPr>
        <w:t>日期：202</w:t>
      </w:r>
      <w:r>
        <w:rPr>
          <w:rFonts w:hint="eastAsia" w:ascii="宋体" w:hAnsi="宋体" w:cs="宋体"/>
          <w:color w:val="auto"/>
          <w:kern w:val="0"/>
          <w:szCs w:val="21"/>
          <w:lang w:val="en-US" w:eastAsia="zh-CN"/>
        </w:rPr>
        <w:t>2</w:t>
      </w:r>
      <w:r>
        <w:rPr>
          <w:rFonts w:hint="eastAsia" w:ascii="宋体" w:hAnsi="宋体" w:cs="宋体"/>
          <w:color w:val="auto"/>
          <w:kern w:val="0"/>
          <w:szCs w:val="21"/>
          <w:lang w:eastAsia="zh-CN"/>
        </w:rPr>
        <w:t>年</w:t>
      </w:r>
      <w:r>
        <w:rPr>
          <w:rFonts w:hint="eastAsia" w:ascii="宋体" w:hAnsi="宋体" w:cs="宋体"/>
          <w:color w:val="auto"/>
          <w:kern w:val="0"/>
          <w:szCs w:val="21"/>
          <w:lang w:val="en-US" w:eastAsia="zh-CN"/>
        </w:rPr>
        <w:t>4月12</w:t>
      </w:r>
      <w:r>
        <w:rPr>
          <w:rFonts w:hint="eastAsia" w:ascii="宋体" w:hAnsi="宋体" w:cs="宋体"/>
          <w:color w:val="auto"/>
          <w:kern w:val="0"/>
          <w:szCs w:val="21"/>
          <w:lang w:eastAsia="zh-CN"/>
        </w:rPr>
        <w:t>日</w:t>
      </w:r>
    </w:p>
    <w:p>
      <w:pPr>
        <w:jc w:val="center"/>
        <w:rPr>
          <w:rFonts w:ascii="宋体" w:hAnsi="宋体" w:cs="宋体"/>
          <w:color w:val="auto"/>
          <w:kern w:val="0"/>
          <w:szCs w:val="21"/>
          <w:lang w:eastAsia="zh-CN"/>
        </w:rPr>
      </w:pPr>
    </w:p>
    <w:p>
      <w:pPr>
        <w:jc w:val="center"/>
        <w:rPr>
          <w:rFonts w:ascii="宋体" w:hAnsi="宋体" w:cs="宋体"/>
          <w:color w:val="auto"/>
          <w:kern w:val="0"/>
          <w:szCs w:val="21"/>
          <w:lang w:eastAsia="zh-CN"/>
        </w:rPr>
      </w:pPr>
    </w:p>
    <w:p>
      <w:pPr>
        <w:jc w:val="center"/>
        <w:rPr>
          <w:rFonts w:ascii="宋体" w:hAnsi="宋体" w:cs="宋体"/>
          <w:color w:val="auto"/>
          <w:kern w:val="0"/>
          <w:szCs w:val="21"/>
          <w:lang w:eastAsia="zh-CN"/>
        </w:rPr>
      </w:pPr>
      <w:r>
        <w:rPr>
          <w:rFonts w:hint="eastAsia" w:ascii="宋体" w:hAnsi="宋体" w:cs="宋体"/>
          <w:color w:val="auto"/>
          <w:kern w:val="0"/>
          <w:szCs w:val="21"/>
          <w:lang w:eastAsia="zh-CN"/>
        </w:rPr>
        <w:t>【经济要闻】</w:t>
      </w:r>
    </w:p>
    <w:p>
      <w:pPr>
        <w:rPr>
          <w:color w:val="auto"/>
        </w:rPr>
      </w:pPr>
    </w:p>
    <w:p>
      <w:pPr>
        <w:jc w:val="left"/>
        <w:rPr>
          <w:color w:val="auto"/>
        </w:rPr>
      </w:pPr>
    </w:p>
    <w:p>
      <w:pPr>
        <w:jc w:val="left"/>
        <w:rPr>
          <w:rFonts w:hint="eastAsia"/>
          <w:color w:val="auto"/>
        </w:rPr>
      </w:pPr>
      <w:r>
        <w:rPr>
          <w:rFonts w:hint="eastAsia"/>
          <w:color w:val="auto"/>
          <w:lang w:val="en-US" w:eastAsia="zh-CN"/>
        </w:rPr>
        <w:t xml:space="preserve"> </w:t>
      </w:r>
      <w:r>
        <w:rPr>
          <w:rFonts w:hint="eastAsia"/>
          <w:color w:val="auto"/>
        </w:rPr>
        <w:t>【国际宏观基本面信息】</w:t>
      </w:r>
    </w:p>
    <w:p>
      <w:pPr>
        <w:jc w:val="left"/>
        <w:rPr>
          <w:rFonts w:hint="eastAsia"/>
          <w:color w:val="auto"/>
        </w:rPr>
      </w:pPr>
      <w:r>
        <w:rPr>
          <w:rFonts w:hint="eastAsia"/>
          <w:color w:val="auto"/>
        </w:rPr>
        <w:t>1 美联储理事沃勒表示，美联储正在尽其所能地避免加息带来的“附带损害”。加息是一种可能对经济造成“打击”的“蛮力工具”。美联储正试图让影响不要这么大，但也指出他们无法调整政策。</w:t>
      </w:r>
    </w:p>
    <w:p>
      <w:pPr>
        <w:jc w:val="left"/>
        <w:rPr>
          <w:rFonts w:hint="eastAsia"/>
          <w:color w:val="auto"/>
        </w:rPr>
      </w:pPr>
      <w:r>
        <w:rPr>
          <w:rFonts w:hint="eastAsia"/>
          <w:color w:val="auto"/>
        </w:rPr>
        <w:t>芝加哥联储主席埃文斯：美国物价不会永远上涨，但高通胀问题将持续存在。</w:t>
      </w:r>
    </w:p>
    <w:p>
      <w:pPr>
        <w:jc w:val="left"/>
        <w:rPr>
          <w:rFonts w:hint="eastAsia"/>
          <w:color w:val="auto"/>
        </w:rPr>
      </w:pPr>
      <w:r>
        <w:rPr>
          <w:rFonts w:hint="eastAsia"/>
          <w:color w:val="auto"/>
        </w:rPr>
        <w:t>2 OPEC：市场目前受到政治因素，而非供需的影响，OPEC几乎没有什么可以做的。</w:t>
      </w:r>
    </w:p>
    <w:p>
      <w:pPr>
        <w:jc w:val="left"/>
        <w:rPr>
          <w:rFonts w:hint="eastAsia"/>
          <w:color w:val="auto"/>
        </w:rPr>
      </w:pPr>
      <w:r>
        <w:rPr>
          <w:rFonts w:hint="eastAsia"/>
          <w:color w:val="auto"/>
        </w:rPr>
        <w:t>3 联合国粮农组织报告显示，俄乌冲突发生以来，国际主粮和植物油市场受到严重冲击，导致3月份世界粮食商品价格大幅跃升至历史最高水平</w:t>
      </w:r>
    </w:p>
    <w:p>
      <w:pPr>
        <w:jc w:val="left"/>
        <w:rPr>
          <w:rFonts w:hint="eastAsia"/>
          <w:color w:val="auto"/>
        </w:rPr>
      </w:pPr>
    </w:p>
    <w:p>
      <w:pPr>
        <w:jc w:val="left"/>
        <w:rPr>
          <w:rFonts w:hint="eastAsia"/>
          <w:color w:val="auto"/>
        </w:rPr>
      </w:pPr>
      <w:r>
        <w:rPr>
          <w:rFonts w:hint="eastAsia"/>
          <w:color w:val="auto"/>
        </w:rPr>
        <w:t>【国内宏观基本面信息】</w:t>
      </w:r>
    </w:p>
    <w:p>
      <w:pPr>
        <w:jc w:val="left"/>
        <w:rPr>
          <w:rFonts w:hint="eastAsia"/>
          <w:color w:val="auto"/>
        </w:rPr>
      </w:pPr>
      <w:r>
        <w:rPr>
          <w:rFonts w:hint="eastAsia"/>
          <w:color w:val="auto"/>
        </w:rPr>
        <w:t>1  央行公布2022年3月及一季度金融统计数据及社会融资规模增量统计数据报告，具体来看：中国3月社会融资规模增量4.65万亿元，前值1.19万亿元人民币，比上年同期多1.28万亿元。中国3月新增人民币贷款3.13万亿元，前值1.23万亿万亿元人民币，同比多增3951亿元。中国3月M2货币供应同比增长9.7%，前值9.2%；M1同比增长4.7%，前值4.7%。</w:t>
      </w:r>
    </w:p>
    <w:p>
      <w:pPr>
        <w:jc w:val="left"/>
        <w:rPr>
          <w:rFonts w:hint="eastAsia"/>
          <w:color w:val="auto"/>
        </w:rPr>
      </w:pPr>
      <w:r>
        <w:rPr>
          <w:rFonts w:hint="eastAsia"/>
          <w:color w:val="auto"/>
        </w:rPr>
        <w:t>2  国家统计局发布数据显示，3月份，中国居民消费价格（CPI）同比上涨1.5%，前值0.9%，涨幅比上月扩大0.6个百分点；CPI环比由上月上涨0.6%转为持平。工业生产者出厂价格（PPI）同比上升8.3%，前值8.8%，同比涨幅继续回落；环比上涨1.1%，涨幅比上月扩大0.6个百分点。</w:t>
      </w:r>
    </w:p>
    <w:p>
      <w:pPr>
        <w:jc w:val="left"/>
        <w:rPr>
          <w:rFonts w:hint="eastAsia"/>
          <w:color w:val="auto"/>
        </w:rPr>
      </w:pPr>
      <w:r>
        <w:rPr>
          <w:rFonts w:hint="eastAsia"/>
          <w:color w:val="auto"/>
        </w:rPr>
        <w:t>3  李克强指出，要增强紧迫感，抓紧落实中央经济工作会议精神和政府工作报告举措，退税减税降费、金融支持实体经济、专项债发行使用、重点项目开工建设、支持企业稳岗等政策的实施，都要靠前安排和加快节奏</w:t>
      </w:r>
    </w:p>
    <w:p>
      <w:pPr>
        <w:jc w:val="left"/>
        <w:rPr>
          <w:rFonts w:hint="eastAsia"/>
          <w:color w:val="auto"/>
        </w:rPr>
      </w:pPr>
      <w:r>
        <w:rPr>
          <w:rFonts w:hint="eastAsia"/>
          <w:color w:val="auto"/>
        </w:rPr>
        <w:t>4  证监会、国资委、全国工商联发布关于进一步支持上市公司健康发展的通知</w:t>
      </w:r>
    </w:p>
    <w:p>
      <w:pPr>
        <w:jc w:val="left"/>
        <w:rPr>
          <w:rFonts w:hint="eastAsia"/>
          <w:color w:val="auto"/>
        </w:rPr>
      </w:pPr>
    </w:p>
    <w:p>
      <w:pPr>
        <w:jc w:val="left"/>
        <w:rPr>
          <w:rFonts w:hint="eastAsia"/>
          <w:color w:val="auto"/>
        </w:rPr>
      </w:pPr>
      <w:r>
        <w:rPr>
          <w:rFonts w:hint="eastAsia"/>
          <w:color w:val="auto"/>
        </w:rPr>
        <w:t>【当日重要经济数据】</w:t>
      </w:r>
    </w:p>
    <w:p>
      <w:pPr>
        <w:jc w:val="left"/>
        <w:rPr>
          <w:rFonts w:hint="eastAsia"/>
          <w:color w:val="auto"/>
        </w:rPr>
      </w:pPr>
      <w:r>
        <w:rPr>
          <w:rFonts w:hint="eastAsia"/>
          <w:color w:val="auto"/>
        </w:rPr>
        <w:t>17:00</w:t>
      </w:r>
      <w:r>
        <w:rPr>
          <w:rFonts w:hint="eastAsia"/>
          <w:color w:val="auto"/>
        </w:rPr>
        <w:tab/>
      </w:r>
      <w:r>
        <w:rPr>
          <w:rFonts w:hint="eastAsia"/>
          <w:color w:val="auto"/>
        </w:rPr>
        <w:t>欧元区4月ZEW经济景气指数</w:t>
      </w:r>
      <w:r>
        <w:rPr>
          <w:rFonts w:hint="eastAsia"/>
          <w:color w:val="auto"/>
        </w:rPr>
        <w:tab/>
      </w:r>
      <w:r>
        <w:rPr>
          <w:rFonts w:hint="eastAsia"/>
          <w:color w:val="auto"/>
        </w:rPr>
        <w:t>-38.7</w:t>
      </w:r>
      <w:r>
        <w:rPr>
          <w:rFonts w:hint="eastAsia"/>
          <w:color w:val="auto"/>
        </w:rPr>
        <w:tab/>
      </w:r>
      <w:r>
        <w:rPr>
          <w:rFonts w:hint="eastAsia"/>
          <w:color w:val="auto"/>
        </w:rPr>
        <w:tab/>
      </w:r>
      <w:r>
        <w:rPr>
          <w:rFonts w:hint="eastAsia"/>
          <w:color w:val="auto"/>
        </w:rPr>
        <w:tab/>
      </w:r>
      <w:r>
        <w:rPr>
          <w:rFonts w:hint="eastAsia"/>
          <w:color w:val="auto"/>
        </w:rPr>
        <w:tab/>
      </w:r>
    </w:p>
    <w:p>
      <w:pPr>
        <w:jc w:val="left"/>
        <w:rPr>
          <w:rFonts w:hint="eastAsia"/>
          <w:color w:val="auto"/>
        </w:rPr>
      </w:pPr>
      <w:r>
        <w:rPr>
          <w:rFonts w:hint="eastAsia"/>
          <w:color w:val="auto"/>
        </w:rPr>
        <w:t>欧元区4月ZEW经济现况指数</w:t>
      </w:r>
      <w:r>
        <w:rPr>
          <w:rFonts w:hint="eastAsia"/>
          <w:color w:val="auto"/>
        </w:rPr>
        <w:tab/>
      </w:r>
      <w:r>
        <w:rPr>
          <w:rFonts w:hint="eastAsia"/>
          <w:color w:val="auto"/>
        </w:rPr>
        <w:t>-21.9</w:t>
      </w:r>
    </w:p>
    <w:p>
      <w:pPr>
        <w:jc w:val="left"/>
        <w:rPr>
          <w:rFonts w:hint="eastAsia"/>
          <w:color w:val="auto"/>
        </w:rPr>
      </w:pPr>
      <w:r>
        <w:rPr>
          <w:rFonts w:hint="eastAsia"/>
          <w:color w:val="auto"/>
        </w:rPr>
        <w:t>20:30</w:t>
      </w:r>
      <w:r>
        <w:rPr>
          <w:rFonts w:hint="eastAsia"/>
          <w:color w:val="auto"/>
        </w:rPr>
        <w:tab/>
      </w:r>
      <w:r>
        <w:rPr>
          <w:rFonts w:hint="eastAsia"/>
          <w:color w:val="auto"/>
        </w:rPr>
        <w:t>美国3月CPI年率未季调(%)</w:t>
      </w:r>
      <w:r>
        <w:rPr>
          <w:rFonts w:hint="eastAsia"/>
          <w:color w:val="auto"/>
        </w:rPr>
        <w:tab/>
      </w:r>
      <w:r>
        <w:rPr>
          <w:rFonts w:hint="eastAsia"/>
          <w:color w:val="auto"/>
        </w:rPr>
        <w:t>7.9</w:t>
      </w:r>
      <w:r>
        <w:rPr>
          <w:rFonts w:hint="eastAsia"/>
          <w:color w:val="auto"/>
        </w:rPr>
        <w:tab/>
      </w:r>
      <w:r>
        <w:rPr>
          <w:rFonts w:hint="eastAsia"/>
          <w:color w:val="auto"/>
        </w:rPr>
        <w:t>8.5</w:t>
      </w:r>
      <w:r>
        <w:rPr>
          <w:rFonts w:hint="eastAsia"/>
          <w:color w:val="auto"/>
        </w:rPr>
        <w:tab/>
      </w:r>
      <w:r>
        <w:rPr>
          <w:rFonts w:hint="eastAsia"/>
          <w:color w:val="auto"/>
        </w:rPr>
        <w:tab/>
      </w:r>
      <w:r>
        <w:rPr>
          <w:rFonts w:hint="eastAsia"/>
          <w:color w:val="auto"/>
        </w:rPr>
        <w:tab/>
      </w:r>
    </w:p>
    <w:p>
      <w:pPr>
        <w:jc w:val="left"/>
        <w:rPr>
          <w:rFonts w:hint="eastAsia"/>
          <w:color w:val="auto"/>
        </w:rPr>
      </w:pPr>
      <w:r>
        <w:rPr>
          <w:rFonts w:hint="eastAsia"/>
          <w:color w:val="auto"/>
        </w:rPr>
        <w:t>美国3月未季调CPI指数</w:t>
      </w:r>
      <w:r>
        <w:rPr>
          <w:rFonts w:hint="eastAsia"/>
          <w:color w:val="auto"/>
        </w:rPr>
        <w:tab/>
      </w:r>
      <w:r>
        <w:rPr>
          <w:rFonts w:hint="eastAsia"/>
          <w:color w:val="auto"/>
        </w:rPr>
        <w:t>283.72</w:t>
      </w:r>
      <w:r>
        <w:rPr>
          <w:rFonts w:hint="eastAsia"/>
          <w:color w:val="auto"/>
        </w:rPr>
        <w:tab/>
      </w:r>
      <w:r>
        <w:rPr>
          <w:rFonts w:hint="eastAsia"/>
          <w:color w:val="auto"/>
        </w:rPr>
        <w:t>287.57</w:t>
      </w:r>
      <w:r>
        <w:rPr>
          <w:rFonts w:hint="eastAsia"/>
          <w:color w:val="auto"/>
        </w:rPr>
        <w:tab/>
      </w:r>
      <w:r>
        <w:rPr>
          <w:rFonts w:hint="eastAsia"/>
          <w:color w:val="auto"/>
        </w:rPr>
        <w:tab/>
      </w:r>
      <w:r>
        <w:rPr>
          <w:rFonts w:hint="eastAsia"/>
          <w:color w:val="auto"/>
        </w:rPr>
        <w:tab/>
      </w:r>
    </w:p>
    <w:p>
      <w:pPr>
        <w:jc w:val="left"/>
        <w:rPr>
          <w:rFonts w:hint="eastAsia"/>
          <w:color w:val="auto"/>
        </w:rPr>
      </w:pPr>
      <w:r>
        <w:rPr>
          <w:rFonts w:hint="eastAsia"/>
          <w:color w:val="auto"/>
        </w:rPr>
        <w:t>美国3月核心CPI年率未季调(%)</w:t>
      </w:r>
      <w:r>
        <w:rPr>
          <w:rFonts w:hint="eastAsia"/>
          <w:color w:val="auto"/>
        </w:rPr>
        <w:tab/>
      </w:r>
      <w:r>
        <w:rPr>
          <w:rFonts w:hint="eastAsia"/>
          <w:color w:val="auto"/>
        </w:rPr>
        <w:t>6.4</w:t>
      </w:r>
      <w:r>
        <w:rPr>
          <w:rFonts w:hint="eastAsia"/>
          <w:color w:val="auto"/>
        </w:rPr>
        <w:tab/>
      </w:r>
      <w:r>
        <w:rPr>
          <w:rFonts w:hint="eastAsia"/>
          <w:color w:val="auto"/>
        </w:rPr>
        <w:t>6.6</w:t>
      </w:r>
    </w:p>
    <w:p>
      <w:pPr>
        <w:jc w:val="left"/>
        <w:rPr>
          <w:rFonts w:hint="eastAsia"/>
          <w:color w:val="auto"/>
        </w:rPr>
      </w:pPr>
    </w:p>
    <w:p>
      <w:pPr>
        <w:jc w:val="left"/>
        <w:rPr>
          <w:rFonts w:hint="eastAsia"/>
          <w:color w:val="auto"/>
        </w:rPr>
      </w:pPr>
      <w:r>
        <w:rPr>
          <w:rFonts w:hint="eastAsia"/>
          <w:color w:val="auto"/>
        </w:rPr>
        <w:t>【证券指数思路】</w:t>
      </w:r>
    </w:p>
    <w:p>
      <w:pPr>
        <w:jc w:val="left"/>
        <w:rPr>
          <w:rFonts w:hint="eastAsia"/>
          <w:color w:val="auto"/>
        </w:rPr>
      </w:pPr>
      <w:r>
        <w:rPr>
          <w:rFonts w:hint="eastAsia"/>
          <w:color w:val="auto"/>
        </w:rPr>
        <w:t xml:space="preserve">        11日沪指收报3167.13点，跌2.61%，成交额4351亿元。深成指收报11520.21点，跌3.67%，成交额5286亿元。创业板指收报2462.04点，跌4.20%，成交额1727亿元。</w:t>
      </w:r>
    </w:p>
    <w:p>
      <w:pPr>
        <w:jc w:val="left"/>
        <w:rPr>
          <w:rFonts w:hint="eastAsia"/>
          <w:color w:val="auto"/>
          <w:lang w:eastAsia="zh-CN"/>
        </w:rPr>
      </w:pPr>
      <w:r>
        <w:rPr>
          <w:rFonts w:hint="eastAsia"/>
          <w:color w:val="auto"/>
        </w:rPr>
        <w:t xml:space="preserve">  从表象数据上，社融等表现强劲，反映出宏观政策加大经济稳增长、稳定信用扩张的靠前发力，但实质上从信用扩张的结构看，实体企业、居民的投资、消费等需求不足的问题依然存在，说明稳增长政策适时加力仍有必要，当前经济依然危机重重，倒逼政策扶持。而疫情防疫策略对经济的消极影响还将不断扩大，市场心态较谨慎，指数仍在寻底的过程中，内外部的不确定性显著放大了市场运行中的波动性，这种状态使我们继续表述近期一直的观点--现在就是一个大的的区间反复震荡格局，方向不明确，短线震荡是主体，做好资金控制，不宜赌方向</w:t>
      </w:r>
      <w:r>
        <w:rPr>
          <w:rFonts w:hint="eastAsia"/>
          <w:color w:val="auto"/>
          <w:lang w:eastAsia="zh-CN"/>
        </w:rPr>
        <w:t>。</w:t>
      </w:r>
    </w:p>
    <w:p>
      <w:pPr>
        <w:jc w:val="left"/>
        <w:rPr>
          <w:rFonts w:hint="eastAsia"/>
          <w:color w:val="auto"/>
          <w:lang w:eastAsia="zh-CN"/>
        </w:rPr>
      </w:pPr>
    </w:p>
    <w:p>
      <w:pPr>
        <w:jc w:val="left"/>
        <w:rPr>
          <w:rFonts w:hint="eastAsia"/>
          <w:color w:val="auto"/>
          <w:lang w:eastAsia="zh-CN"/>
        </w:rPr>
      </w:pPr>
    </w:p>
    <w:p>
      <w:pPr>
        <w:jc w:val="left"/>
        <w:rPr>
          <w:rFonts w:hint="eastAsia"/>
          <w:color w:val="auto"/>
          <w:lang w:eastAsia="zh-CN"/>
        </w:rPr>
      </w:pPr>
    </w:p>
    <w:p>
      <w:pPr>
        <w:jc w:val="left"/>
        <w:rPr>
          <w:rFonts w:hint="eastAsia"/>
          <w:color w:val="auto"/>
          <w:lang w:eastAsia="zh-CN"/>
        </w:rPr>
      </w:pPr>
    </w:p>
    <w:p>
      <w:pPr>
        <w:jc w:val="left"/>
        <w:rPr>
          <w:rFonts w:hint="eastAsia"/>
          <w:color w:val="auto"/>
          <w:lang w:val="en-US" w:eastAsia="zh-CN"/>
        </w:rPr>
      </w:pPr>
    </w:p>
    <w:p>
      <w:pPr>
        <w:jc w:val="center"/>
        <w:rPr>
          <w:rFonts w:ascii="宋体" w:hAnsi="宋体" w:cs="宋体"/>
          <w:color w:val="auto"/>
          <w:kern w:val="0"/>
          <w:szCs w:val="21"/>
          <w:lang w:eastAsia="zh-CN"/>
        </w:rPr>
      </w:pPr>
      <w:r>
        <w:rPr>
          <w:rFonts w:hint="eastAsia" w:ascii="宋体" w:hAnsi="宋体" w:cs="宋体"/>
          <w:color w:val="auto"/>
          <w:kern w:val="0"/>
          <w:szCs w:val="21"/>
          <w:lang w:eastAsia="zh-CN"/>
        </w:rPr>
        <w:t>【分品种动态】</w:t>
      </w:r>
    </w:p>
    <w:p>
      <w:pPr>
        <w:jc w:val="both"/>
        <w:rPr>
          <w:rFonts w:ascii="黑体" w:eastAsia="黑体" w:cs="宋体"/>
          <w:color w:val="auto"/>
          <w:szCs w:val="21"/>
        </w:rPr>
      </w:pPr>
    </w:p>
    <w:p>
      <w:pPr>
        <w:jc w:val="center"/>
        <w:rPr>
          <w:rFonts w:ascii="黑体" w:eastAsia="黑体" w:cs="宋体"/>
          <w:color w:val="auto"/>
          <w:szCs w:val="21"/>
        </w:rPr>
      </w:pPr>
    </w:p>
    <w:p>
      <w:pPr>
        <w:jc w:val="center"/>
        <w:rPr>
          <w:rFonts w:ascii="黑体" w:eastAsia="黑体" w:cs="宋体"/>
          <w:color w:val="auto"/>
          <w:szCs w:val="21"/>
        </w:rPr>
      </w:pPr>
    </w:p>
    <w:p>
      <w:pPr>
        <w:rPr>
          <w:rFonts w:ascii="黑体" w:eastAsia="黑体" w:cs="宋体"/>
          <w:color w:val="auto"/>
          <w:szCs w:val="21"/>
        </w:rPr>
      </w:pPr>
    </w:p>
    <w:p>
      <w:pPr>
        <w:widowControl/>
        <w:jc w:val="left"/>
        <w:rPr>
          <w:color w:val="auto"/>
          <w:szCs w:val="21"/>
        </w:rPr>
      </w:pPr>
      <w:r>
        <w:rPr>
          <w:rFonts w:hint="eastAsia" w:ascii="黑体" w:eastAsia="黑体" w:cs="黑体"/>
          <w:color w:val="auto"/>
          <w:szCs w:val="21"/>
        </w:rPr>
        <w:t>◆农产品</w:t>
      </w:r>
    </w:p>
    <w:tbl>
      <w:tblPr>
        <w:tblStyle w:val="4"/>
        <w:tblW w:w="9004" w:type="dxa"/>
        <w:tblInd w:w="-15" w:type="dxa"/>
        <w:tblLayout w:type="fixed"/>
        <w:tblCellMar>
          <w:top w:w="0" w:type="dxa"/>
          <w:left w:w="108" w:type="dxa"/>
          <w:bottom w:w="0" w:type="dxa"/>
          <w:right w:w="108" w:type="dxa"/>
        </w:tblCellMar>
      </w:tblPr>
      <w:tblGrid>
        <w:gridCol w:w="549"/>
        <w:gridCol w:w="6405"/>
        <w:gridCol w:w="2050"/>
      </w:tblGrid>
      <w:tr>
        <w:tblPrEx>
          <w:tblCellMar>
            <w:top w:w="0" w:type="dxa"/>
            <w:left w:w="108" w:type="dxa"/>
            <w:bottom w:w="0" w:type="dxa"/>
            <w:right w:w="108" w:type="dxa"/>
          </w:tblCellMar>
        </w:tblPrEx>
        <w:trPr>
          <w:trHeight w:val="507" w:hRule="atLeast"/>
        </w:trPr>
        <w:tc>
          <w:tcPr>
            <w:tcW w:w="549" w:type="dxa"/>
            <w:tcBorders>
              <w:top w:val="single" w:color="000000" w:sz="4" w:space="0"/>
              <w:left w:val="single" w:color="000000" w:sz="4" w:space="0"/>
              <w:bottom w:val="single" w:color="000000" w:sz="4" w:space="0"/>
              <w:right w:val="nil"/>
            </w:tcBorders>
          </w:tcPr>
          <w:p>
            <w:pPr>
              <w:widowControl/>
              <w:snapToGrid w:val="0"/>
              <w:jc w:val="left"/>
              <w:rPr>
                <w:rFonts w:ascii="宋体" w:hAnsi="宋体"/>
                <w:color w:val="auto"/>
                <w:szCs w:val="21"/>
              </w:rPr>
            </w:pPr>
          </w:p>
        </w:tc>
        <w:tc>
          <w:tcPr>
            <w:tcW w:w="6405" w:type="dxa"/>
            <w:tcBorders>
              <w:top w:val="single" w:color="000000" w:sz="4" w:space="0"/>
              <w:left w:val="single" w:color="000000" w:sz="4" w:space="0"/>
              <w:bottom w:val="single" w:color="000000" w:sz="4" w:space="0"/>
              <w:right w:val="nil"/>
            </w:tcBorders>
            <w:vAlign w:val="center"/>
          </w:tcPr>
          <w:p>
            <w:pPr>
              <w:widowControl/>
              <w:rPr>
                <w:rFonts w:ascii="宋体" w:hAnsi="宋体" w:cs="宋体"/>
                <w:b/>
                <w:color w:val="auto"/>
                <w:szCs w:val="21"/>
              </w:rPr>
            </w:pPr>
            <w:r>
              <w:rPr>
                <w:rFonts w:hint="eastAsia" w:ascii="宋体" w:hAnsi="宋体" w:cs="宋体"/>
                <w:b/>
                <w:color w:val="auto"/>
                <w:szCs w:val="21"/>
              </w:rPr>
              <w:t>内外盘综述</w:t>
            </w:r>
          </w:p>
        </w:tc>
        <w:tc>
          <w:tcPr>
            <w:tcW w:w="2050" w:type="dxa"/>
            <w:tcBorders>
              <w:top w:val="single" w:color="000000" w:sz="4" w:space="0"/>
              <w:left w:val="single" w:color="000000" w:sz="4" w:space="0"/>
              <w:bottom w:val="single" w:color="000000" w:sz="4" w:space="0"/>
              <w:right w:val="single" w:color="000000" w:sz="4" w:space="0"/>
            </w:tcBorders>
            <w:vAlign w:val="center"/>
          </w:tcPr>
          <w:p>
            <w:pPr>
              <w:widowControl/>
              <w:rPr>
                <w:rFonts w:ascii="宋体" w:hAnsi="宋体"/>
                <w:b/>
                <w:color w:val="auto"/>
                <w:szCs w:val="21"/>
              </w:rPr>
            </w:pPr>
            <w:r>
              <w:rPr>
                <w:rFonts w:hint="eastAsia" w:ascii="宋体" w:hAnsi="宋体" w:cs="宋体"/>
                <w:b/>
                <w:color w:val="auto"/>
                <w:szCs w:val="21"/>
              </w:rPr>
              <w:t>简评及操作策略</w:t>
            </w:r>
          </w:p>
        </w:tc>
      </w:tr>
      <w:tr>
        <w:tblPrEx>
          <w:tblCellMar>
            <w:top w:w="0" w:type="dxa"/>
            <w:left w:w="108" w:type="dxa"/>
            <w:bottom w:w="0" w:type="dxa"/>
            <w:right w:w="108" w:type="dxa"/>
          </w:tblCellMar>
        </w:tblPrEx>
        <w:trPr>
          <w:trHeight w:val="669" w:hRule="atLeast"/>
        </w:trPr>
        <w:tc>
          <w:tcPr>
            <w:tcW w:w="549" w:type="dxa"/>
            <w:tcBorders>
              <w:top w:val="single" w:color="000000" w:sz="4" w:space="0"/>
              <w:left w:val="single" w:color="000000" w:sz="4" w:space="0"/>
              <w:bottom w:val="single" w:color="000000" w:sz="4" w:space="0"/>
              <w:right w:val="nil"/>
            </w:tcBorders>
          </w:tcPr>
          <w:p>
            <w:pPr>
              <w:widowControl/>
              <w:snapToGrid w:val="0"/>
              <w:jc w:val="left"/>
              <w:rPr>
                <w:rFonts w:ascii="宋体" w:hAnsi="宋体" w:cs="宋体"/>
                <w:b/>
                <w:color w:val="auto"/>
                <w:kern w:val="0"/>
                <w:szCs w:val="21"/>
                <w:lang w:eastAsia="zh-CN"/>
              </w:rPr>
            </w:pPr>
            <w:r>
              <w:rPr>
                <w:rFonts w:hint="eastAsia" w:ascii="宋体" w:hAnsi="宋体" w:cs="宋体"/>
                <w:b/>
                <w:color w:val="auto"/>
                <w:kern w:val="0"/>
                <w:szCs w:val="21"/>
                <w:lang w:eastAsia="zh-CN"/>
              </w:rPr>
              <w:t>豆粕</w:t>
            </w:r>
          </w:p>
        </w:tc>
        <w:tc>
          <w:tcPr>
            <w:tcW w:w="6405" w:type="dxa"/>
            <w:tcBorders>
              <w:top w:val="single" w:color="000000" w:sz="4" w:space="0"/>
              <w:left w:val="single" w:color="000000" w:sz="4" w:space="0"/>
              <w:bottom w:val="single" w:color="000000" w:sz="4" w:space="0"/>
              <w:right w:val="nil"/>
            </w:tcBorders>
          </w:tcPr>
          <w:p>
            <w:pPr>
              <w:ind w:firstLine="840" w:firstLineChars="400"/>
              <w:rPr>
                <w:rFonts w:hint="eastAsia" w:eastAsia="宋体"/>
                <w:color w:val="auto"/>
                <w:lang w:val="en-US" w:eastAsia="zh-CN"/>
              </w:rPr>
            </w:pPr>
            <w:r>
              <w:rPr>
                <w:rFonts w:hint="eastAsia"/>
                <w:color w:val="auto"/>
              </w:rPr>
              <w:t>隔夜外围美元收涨于99.98部位；人民币离岸价收贬于6.385。欧美股市收低。市场预期美联储会采取更加激进的货币收缩政策，美公债收益率急升。NYMEX5月原油下跌3.97美元，结算价报每桶94.29美元。因人们担忧中国需求下滑，同时国际能源署国家计划释放创纪录数量的战略油储。芝加哥(CBOT)大豆收跌，市场担忧中国需求。鉴于豆油为生物柴油的原料之一，原油价格下跌亦构成压力。CBOT 5月大豆收跌33-3/4美分，结算价报每蒲式耳16.55-1/4美元。5月豆粕收跌9.10美元，结算价报每短吨459.10美元。5月豆油下跌0.82美分，结算价报每磅74.30美分。美国农业部公布的周度出口检验报告显示，截至2022年4月7日当周，美国大豆出口检验量为766,232吨，符合50-90万吨的市场预估区间。阿根廷卡车司机开始无限期罢工，要求提高谷物和牲畜的运输费用，这可能在收割的关键时期影响谷物出口。</w:t>
            </w:r>
          </w:p>
        </w:tc>
        <w:tc>
          <w:tcPr>
            <w:tcW w:w="2050" w:type="dxa"/>
            <w:tcBorders>
              <w:top w:val="single" w:color="000000" w:sz="4" w:space="0"/>
              <w:left w:val="single" w:color="000000" w:sz="4" w:space="0"/>
              <w:bottom w:val="single" w:color="000000" w:sz="4" w:space="0"/>
              <w:right w:val="single" w:color="000000" w:sz="4" w:space="0"/>
            </w:tcBorders>
          </w:tcPr>
          <w:p>
            <w:pPr>
              <w:widowControl/>
              <w:suppressAutoHyphens w:val="0"/>
              <w:jc w:val="left"/>
              <w:rPr>
                <w:rFonts w:hint="eastAsia"/>
                <w:b/>
                <w:color w:val="auto"/>
                <w:lang w:eastAsia="zh-CN"/>
              </w:rPr>
            </w:pPr>
            <w:r>
              <w:rPr>
                <w:rFonts w:hint="eastAsia"/>
                <w:b/>
                <w:color w:val="auto"/>
                <w:lang w:eastAsia="zh-CN"/>
              </w:rPr>
              <w:t>框架如前，美豆区间内回撤。大连盘跟随。9月油粕比在2.71；粕5－9逆差在102点。粕9日内看围绕3850的波动，宜灵活。　　</w:t>
            </w:r>
          </w:p>
          <w:p>
            <w:pPr>
              <w:widowControl/>
              <w:suppressAutoHyphens w:val="0"/>
              <w:jc w:val="left"/>
              <w:rPr>
                <w:rFonts w:hint="eastAsia"/>
                <w:b/>
                <w:color w:val="auto"/>
                <w:lang w:eastAsia="zh-CN"/>
              </w:rPr>
            </w:pPr>
            <w:r>
              <w:rPr>
                <w:rFonts w:hint="eastAsia"/>
                <w:b/>
                <w:color w:val="auto"/>
                <w:lang w:eastAsia="zh-CN"/>
              </w:rPr>
              <w:t>　　</w:t>
            </w:r>
          </w:p>
          <w:p>
            <w:pPr>
              <w:widowControl/>
              <w:suppressAutoHyphens w:val="0"/>
              <w:jc w:val="left"/>
              <w:rPr>
                <w:b/>
                <w:color w:val="auto"/>
                <w:lang w:eastAsia="zh-CN"/>
              </w:rPr>
            </w:pPr>
            <w:r>
              <w:rPr>
                <w:rFonts w:hint="eastAsia"/>
                <w:b/>
                <w:color w:val="auto"/>
                <w:lang w:eastAsia="zh-CN"/>
              </w:rPr>
              <w:t>（农产品部）</w:t>
            </w:r>
          </w:p>
        </w:tc>
      </w:tr>
      <w:tr>
        <w:tblPrEx>
          <w:tblCellMar>
            <w:top w:w="0" w:type="dxa"/>
            <w:left w:w="108" w:type="dxa"/>
            <w:bottom w:w="0" w:type="dxa"/>
            <w:right w:w="108" w:type="dxa"/>
          </w:tblCellMar>
        </w:tblPrEx>
        <w:trPr>
          <w:trHeight w:val="669" w:hRule="atLeast"/>
        </w:trPr>
        <w:tc>
          <w:tcPr>
            <w:tcW w:w="549" w:type="dxa"/>
            <w:tcBorders>
              <w:top w:val="single" w:color="000000" w:sz="4" w:space="0"/>
              <w:left w:val="single" w:color="000000" w:sz="4" w:space="0"/>
              <w:bottom w:val="single" w:color="000000" w:sz="4" w:space="0"/>
              <w:right w:val="nil"/>
            </w:tcBorders>
            <w:vAlign w:val="top"/>
          </w:tcPr>
          <w:p>
            <w:pPr>
              <w:widowControl/>
              <w:snapToGrid w:val="0"/>
              <w:jc w:val="left"/>
              <w:rPr>
                <w:rFonts w:hint="default" w:ascii="宋体" w:hAnsi="宋体" w:eastAsia="宋体" w:cs="宋体"/>
                <w:b/>
                <w:color w:val="auto"/>
                <w:kern w:val="0"/>
                <w:sz w:val="21"/>
                <w:szCs w:val="21"/>
                <w:lang w:val="en-US" w:eastAsia="zh-CN" w:bidi="ar-SA"/>
              </w:rPr>
            </w:pPr>
            <w:r>
              <w:rPr>
                <w:rFonts w:hint="eastAsia" w:ascii="宋体" w:hAnsi="宋体" w:cs="宋体"/>
                <w:b/>
                <w:color w:val="auto"/>
                <w:kern w:val="0"/>
                <w:sz w:val="21"/>
                <w:szCs w:val="21"/>
                <w:lang w:val="en-US" w:eastAsia="zh-CN" w:bidi="ar-SA"/>
              </w:rPr>
              <w:t>棉花</w:t>
            </w:r>
          </w:p>
        </w:tc>
        <w:tc>
          <w:tcPr>
            <w:tcW w:w="6405" w:type="dxa"/>
            <w:tcBorders>
              <w:top w:val="single" w:color="000000" w:sz="4" w:space="0"/>
              <w:left w:val="single" w:color="000000" w:sz="4" w:space="0"/>
              <w:bottom w:val="single" w:color="000000" w:sz="4" w:space="0"/>
              <w:right w:val="nil"/>
            </w:tcBorders>
            <w:vAlign w:val="top"/>
          </w:tcPr>
          <w:p>
            <w:pPr>
              <w:ind w:firstLine="840" w:firstLineChars="400"/>
              <w:rPr>
                <w:rFonts w:hint="eastAsia" w:ascii="Times New Roman" w:hAnsi="Times New Roman" w:eastAsia="宋体" w:cs="Times New Roman"/>
                <w:color w:val="auto"/>
                <w:kern w:val="2"/>
                <w:sz w:val="21"/>
                <w:lang w:val="en-US" w:eastAsia="zh-CN" w:bidi="ar-SA"/>
              </w:rPr>
            </w:pPr>
            <w:r>
              <w:rPr>
                <w:rFonts w:hint="eastAsia"/>
                <w:color w:val="auto"/>
              </w:rPr>
              <w:t>最新公布的基金持仓报告，基金净多头寸较前期有所增加，美棉上涨，7月合约价格133美分，得州天气干旱，沙尘。郑棉继续横盘，5月合约价格在21595元。目前美国EMOT M到港价148.35分/磅，印度S-6 1-1/8到港价159美分/磅，巴西M到港价150.6美分/磅，外棉到港价较上一交易日涨跌互现。4月11日，棉花现货指数CCI3128B报价至22738元/吨（-13）；期现价差-1183（05合约收盘价-现货价），涤纶短纤报价7720元/吨(-30)，黏胶短纤报价14100元/吨（+0）；CY Index C32S报价28755元/吨（-50），FCY Index C32S(进口棉纱价格指数)报价31695元/吨（-15）。综上，内外棉走势劈叉；国内疫情下，需求抑制加剧。</w:t>
            </w:r>
          </w:p>
        </w:tc>
        <w:tc>
          <w:tcPr>
            <w:tcW w:w="2050" w:type="dxa"/>
            <w:tcBorders>
              <w:top w:val="single" w:color="000000" w:sz="4" w:space="0"/>
              <w:left w:val="single" w:color="000000" w:sz="4" w:space="0"/>
              <w:bottom w:val="single" w:color="000000" w:sz="4" w:space="0"/>
              <w:right w:val="single" w:color="000000" w:sz="4" w:space="0"/>
            </w:tcBorders>
            <w:vAlign w:val="top"/>
          </w:tcPr>
          <w:p>
            <w:pPr>
              <w:widowControl/>
              <w:suppressAutoHyphens w:val="0"/>
              <w:jc w:val="left"/>
              <w:rPr>
                <w:rFonts w:hint="eastAsia"/>
                <w:b/>
                <w:color w:val="auto"/>
                <w:lang w:eastAsia="zh-CN"/>
              </w:rPr>
            </w:pPr>
            <w:r>
              <w:rPr>
                <w:rFonts w:hint="eastAsia"/>
                <w:b/>
                <w:color w:val="auto"/>
                <w:lang w:eastAsia="zh-CN"/>
              </w:rPr>
              <w:t>操作上，郑棉震荡偏弱对待，中长线空单续持。</w:t>
            </w:r>
          </w:p>
          <w:p>
            <w:pPr>
              <w:widowControl/>
              <w:suppressAutoHyphens w:val="0"/>
              <w:jc w:val="left"/>
              <w:rPr>
                <w:rFonts w:hint="eastAsia"/>
                <w:b/>
                <w:color w:val="auto"/>
                <w:lang w:eastAsia="zh-CN"/>
              </w:rPr>
            </w:pPr>
          </w:p>
          <w:p>
            <w:pPr>
              <w:widowControl/>
              <w:suppressAutoHyphens w:val="0"/>
              <w:jc w:val="left"/>
              <w:rPr>
                <w:rFonts w:hint="eastAsia" w:ascii="Times New Roman" w:hAnsi="Times New Roman" w:eastAsia="宋体" w:cs="Times New Roman"/>
                <w:b/>
                <w:color w:val="auto"/>
                <w:kern w:val="2"/>
                <w:sz w:val="21"/>
                <w:lang w:val="en-US" w:eastAsia="zh-CN" w:bidi="ar-SA"/>
              </w:rPr>
            </w:pPr>
            <w:r>
              <w:rPr>
                <w:rFonts w:hint="eastAsia"/>
                <w:b/>
                <w:color w:val="auto"/>
                <w:lang w:eastAsia="zh-CN"/>
              </w:rPr>
              <w:t>（</w:t>
            </w:r>
            <w:r>
              <w:rPr>
                <w:rFonts w:hint="eastAsia"/>
                <w:b/>
                <w:color w:val="auto"/>
                <w:lang w:val="en-US" w:eastAsia="zh-CN"/>
              </w:rPr>
              <w:t>苗玲</w:t>
            </w:r>
            <w:r>
              <w:rPr>
                <w:rFonts w:hint="eastAsia"/>
                <w:b/>
                <w:color w:val="auto"/>
                <w:lang w:eastAsia="zh-CN"/>
              </w:rPr>
              <w:t>）</w:t>
            </w:r>
          </w:p>
        </w:tc>
      </w:tr>
    </w:tbl>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sectPr>
          <w:headerReference r:id="rId3" w:type="default"/>
          <w:footerReference r:id="rId4" w:type="default"/>
          <w:pgSz w:w="11906" w:h="16838"/>
          <w:pgMar w:top="907" w:right="1797" w:bottom="1134" w:left="1797" w:header="510" w:footer="992" w:gutter="0"/>
          <w:cols w:space="720" w:num="1"/>
          <w:docGrid w:type="lines" w:linePitch="312" w:charSpace="0"/>
        </w:sectPr>
      </w:pPr>
      <w:r>
        <w:rPr>
          <w:rFonts w:hint="eastAsia" w:ascii="黑体" w:eastAsia="黑体" w:cs="宋体"/>
          <w:color w:val="auto"/>
          <w:szCs w:val="21"/>
        </w:rPr>
        <w:t>◆工业品</w:t>
      </w:r>
    </w:p>
    <w:p>
      <w:pPr>
        <w:rPr>
          <w:color w:val="auto"/>
          <w:szCs w:val="21"/>
        </w:rPr>
        <w:sectPr>
          <w:type w:val="continuous"/>
          <w:pgSz w:w="11906" w:h="16838"/>
          <w:pgMar w:top="1440" w:right="1797" w:bottom="1134" w:left="1797" w:header="851" w:footer="992" w:gutter="0"/>
          <w:cols w:space="720" w:num="1"/>
          <w:docGrid w:type="lines" w:linePitch="312" w:charSpace="0"/>
        </w:sectPr>
      </w:pPr>
    </w:p>
    <w:tbl>
      <w:tblPr>
        <w:tblStyle w:val="4"/>
        <w:tblW w:w="8994" w:type="dxa"/>
        <w:tblInd w:w="0" w:type="dxa"/>
        <w:tblLayout w:type="fixed"/>
        <w:tblCellMar>
          <w:top w:w="0" w:type="dxa"/>
          <w:left w:w="108" w:type="dxa"/>
          <w:bottom w:w="0" w:type="dxa"/>
          <w:right w:w="108" w:type="dxa"/>
        </w:tblCellMar>
      </w:tblPr>
      <w:tblGrid>
        <w:gridCol w:w="534"/>
        <w:gridCol w:w="6410"/>
        <w:gridCol w:w="2050"/>
      </w:tblGrid>
      <w:tr>
        <w:tblPrEx>
          <w:tblCellMar>
            <w:top w:w="0" w:type="dxa"/>
            <w:left w:w="108" w:type="dxa"/>
            <w:bottom w:w="0" w:type="dxa"/>
            <w:right w:w="108" w:type="dxa"/>
          </w:tblCellMar>
        </w:tblPrEx>
        <w:trPr>
          <w:cantSplit/>
          <w:trHeight w:val="480" w:hRule="atLeast"/>
        </w:trPr>
        <w:tc>
          <w:tcPr>
            <w:tcW w:w="534" w:type="dxa"/>
            <w:tcBorders>
              <w:top w:val="single" w:color="000000" w:sz="4" w:space="0"/>
              <w:left w:val="single" w:color="000000" w:sz="4" w:space="0"/>
              <w:bottom w:val="single" w:color="000000" w:sz="4" w:space="0"/>
              <w:right w:val="nil"/>
            </w:tcBorders>
          </w:tcPr>
          <w:p>
            <w:pPr>
              <w:widowControl/>
              <w:snapToGrid w:val="0"/>
              <w:jc w:val="left"/>
              <w:rPr>
                <w:rFonts w:ascii="宋体" w:hAnsi="宋体" w:cs="黑体"/>
                <w:color w:val="auto"/>
                <w:szCs w:val="21"/>
              </w:rPr>
            </w:pPr>
          </w:p>
        </w:tc>
        <w:tc>
          <w:tcPr>
            <w:tcW w:w="6410" w:type="dxa"/>
            <w:tcBorders>
              <w:top w:val="single" w:color="000000" w:sz="4" w:space="0"/>
              <w:left w:val="single" w:color="000000" w:sz="4" w:space="0"/>
              <w:bottom w:val="single" w:color="000000" w:sz="4" w:space="0"/>
              <w:right w:val="nil"/>
            </w:tcBorders>
            <w:vAlign w:val="center"/>
          </w:tcPr>
          <w:p>
            <w:pPr>
              <w:rPr>
                <w:rFonts w:ascii="宋体" w:hAnsi="宋体" w:cs="宋体"/>
                <w:b/>
                <w:color w:val="auto"/>
                <w:szCs w:val="21"/>
              </w:rPr>
            </w:pPr>
            <w:r>
              <w:rPr>
                <w:rFonts w:hint="eastAsia" w:ascii="宋体" w:hAnsi="宋体" w:cs="宋体"/>
                <w:b/>
                <w:color w:val="auto"/>
                <w:szCs w:val="21"/>
              </w:rPr>
              <w:t>内外盘综述</w:t>
            </w:r>
          </w:p>
        </w:tc>
        <w:tc>
          <w:tcPr>
            <w:tcW w:w="205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b/>
                <w:color w:val="auto"/>
                <w:szCs w:val="21"/>
              </w:rPr>
            </w:pPr>
            <w:r>
              <w:rPr>
                <w:rFonts w:hint="eastAsia" w:ascii="宋体" w:hAnsi="宋体" w:cs="宋体"/>
                <w:b/>
                <w:color w:val="auto"/>
                <w:szCs w:val="21"/>
              </w:rPr>
              <w:t>简评及操作策略</w:t>
            </w:r>
          </w:p>
        </w:tc>
      </w:tr>
      <w:tr>
        <w:tblPrEx>
          <w:tblCellMar>
            <w:top w:w="0" w:type="dxa"/>
            <w:left w:w="108" w:type="dxa"/>
            <w:bottom w:w="0" w:type="dxa"/>
            <w:right w:w="108" w:type="dxa"/>
          </w:tblCellMar>
        </w:tblPrEx>
        <w:trPr>
          <w:cantSplit/>
          <w:trHeight w:val="2181" w:hRule="atLeast"/>
        </w:trPr>
        <w:tc>
          <w:tcPr>
            <w:tcW w:w="534" w:type="dxa"/>
            <w:tcBorders>
              <w:top w:val="single" w:color="000000" w:sz="4" w:space="0"/>
              <w:left w:val="single" w:color="000000" w:sz="4" w:space="0"/>
              <w:bottom w:val="single" w:color="000000" w:sz="4" w:space="0"/>
              <w:right w:val="nil"/>
            </w:tcBorders>
          </w:tcPr>
          <w:p>
            <w:pPr>
              <w:widowControl/>
              <w:jc w:val="left"/>
              <w:rPr>
                <w:rFonts w:hint="default" w:ascii="宋体" w:hAnsi="宋体" w:cs="宋体"/>
                <w:b/>
                <w:color w:val="auto"/>
                <w:kern w:val="0"/>
                <w:szCs w:val="21"/>
                <w:lang w:val="en-US" w:eastAsia="zh-CN"/>
              </w:rPr>
            </w:pPr>
            <w:r>
              <w:rPr>
                <w:rFonts w:hint="eastAsia" w:ascii="宋体" w:hAnsi="宋体" w:cs="宋体"/>
                <w:b/>
                <w:color w:val="auto"/>
                <w:kern w:val="0"/>
                <w:szCs w:val="21"/>
                <w:lang w:val="en-US" w:eastAsia="zh-CN"/>
              </w:rPr>
              <w:t>钢材</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rPr>
            </w:pPr>
            <w:r>
              <w:rPr>
                <w:rFonts w:hint="eastAsia"/>
                <w:color w:val="auto"/>
              </w:rPr>
              <w:t>钢材周一价格震荡回落，螺纹2210合约收于4937，热卷2210合约收于5096。现货方面，11日唐山普方坯出厂价报4790（-40），上海地区螺纹钢现货价格(HRB400 20mm)5050元（-40），热卷现货价格(4.75mm)5100元（-80）。</w:t>
            </w:r>
          </w:p>
          <w:p>
            <w:pPr>
              <w:widowControl/>
              <w:suppressAutoHyphens w:val="0"/>
              <w:ind w:firstLine="630" w:firstLineChars="300"/>
              <w:jc w:val="left"/>
              <w:rPr>
                <w:rFonts w:hint="eastAsia"/>
                <w:color w:val="auto"/>
              </w:rPr>
            </w:pPr>
            <w:r>
              <w:rPr>
                <w:rFonts w:hint="eastAsia"/>
                <w:color w:val="auto"/>
              </w:rPr>
              <w:t>中共中央政治局常委、国务院总理李克强在江西主持召开经济形势部分地方政府主要负责人座谈会。李克强指出，退税减税降费、金融支持实体经济、专项债发行使用、重点项目开工建设、支持企业稳岗等政策的实施，都要靠前安排和加快节奏，上半年要大头落地，形成更多实物工作量。保障电力煤炭等能源稳定供应，加快释放国内先进煤炭产能。确保交通骨干网络、港口等有序运行，畅通国际国内物流，维护产业链供应链稳定。</w:t>
            </w:r>
          </w:p>
          <w:p>
            <w:pPr>
              <w:widowControl/>
              <w:suppressAutoHyphens w:val="0"/>
              <w:ind w:firstLine="630" w:firstLineChars="300"/>
              <w:jc w:val="left"/>
              <w:rPr>
                <w:rFonts w:hint="eastAsia"/>
                <w:color w:val="auto"/>
              </w:rPr>
            </w:pPr>
            <w:r>
              <w:rPr>
                <w:rFonts w:hint="eastAsia"/>
                <w:color w:val="auto"/>
              </w:rPr>
              <w:t>中国3月份社会融资规模增量46500亿元，预期37000亿元，2月为11900亿元；中国3月份货币供应M2同比增长9.7%，预期9.4%，2月为9.2%；中国3月份新增人民币贷款31300亿元，预期28000亿元，2月为12300亿元。</w:t>
            </w:r>
          </w:p>
          <w:p>
            <w:pPr>
              <w:widowControl/>
              <w:suppressAutoHyphens w:val="0"/>
              <w:ind w:firstLine="630" w:firstLineChars="300"/>
              <w:jc w:val="left"/>
              <w:rPr>
                <w:rFonts w:hint="eastAsia"/>
                <w:color w:val="auto"/>
              </w:rPr>
            </w:pPr>
            <w:r>
              <w:rPr>
                <w:rFonts w:hint="eastAsia"/>
                <w:color w:val="auto"/>
              </w:rPr>
              <w:t>中国3月CPI同比上涨1.5%，预期1.3%；前值0.9%。中国3月PPI同比上涨8.3%，预期上涨8.1%，前值上涨8.8%。</w:t>
            </w:r>
          </w:p>
          <w:p>
            <w:pPr>
              <w:widowControl/>
              <w:suppressAutoHyphens w:val="0"/>
              <w:ind w:firstLine="630" w:firstLineChars="300"/>
              <w:jc w:val="left"/>
              <w:rPr>
                <w:rFonts w:hint="eastAsia" w:eastAsia="宋体"/>
                <w:color w:val="auto"/>
                <w:lang w:val="en-US" w:eastAsia="zh-CN"/>
              </w:rPr>
            </w:pPr>
            <w:r>
              <w:rPr>
                <w:rFonts w:hint="eastAsia"/>
                <w:color w:val="auto"/>
              </w:rPr>
              <w:t>国家宏观方面，国内3月份社融数据总体超预期，信用端的宽松有所表现。李克强在经济形势座谈会中指出要安排加快重点项目上半年大头落地，保障能源畅通物流。钢材消费端疫情影响下，仍然处于低迷状态，房地产的弱势同样使得国内整体建材消费不及往年同期，供给端由于唐山疫情管控逐步解封，处于恢复阶段。短期内由于周度库存回升，消费整体弱势的影响，预计钢材价格将偏弱调整</w:t>
            </w:r>
            <w:r>
              <w:rPr>
                <w:rFonts w:hint="eastAsia"/>
                <w:color w:val="auto"/>
                <w:lang w:eastAsia="zh-CN"/>
              </w:rPr>
              <w:t>。</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建议短线操作或观望。</w:t>
            </w:r>
          </w:p>
          <w:p>
            <w:pPr>
              <w:rPr>
                <w:rFonts w:hint="eastAsia"/>
                <w:b/>
                <w:color w:val="auto"/>
                <w:lang w:eastAsia="zh-CN"/>
              </w:rPr>
            </w:pPr>
          </w:p>
          <w:p>
            <w:pPr>
              <w:rPr>
                <w:b/>
                <w:color w:val="auto"/>
                <w:lang w:eastAsia="zh-CN"/>
              </w:rPr>
            </w:pPr>
            <w:r>
              <w:rPr>
                <w:rFonts w:hint="eastAsia"/>
                <w:b/>
                <w:color w:val="auto"/>
                <w:lang w:eastAsia="zh-CN"/>
              </w:rPr>
              <w:t>(</w:t>
            </w:r>
            <w:r>
              <w:rPr>
                <w:rFonts w:hint="eastAsia"/>
                <w:b/>
                <w:color w:val="auto"/>
                <w:lang w:eastAsia="zh-CN"/>
              </w:rPr>
              <w:t>黄天罡)</w:t>
            </w:r>
          </w:p>
        </w:tc>
      </w:tr>
      <w:tr>
        <w:tblPrEx>
          <w:tblCellMar>
            <w:top w:w="0" w:type="dxa"/>
            <w:left w:w="108" w:type="dxa"/>
            <w:bottom w:w="0" w:type="dxa"/>
            <w:right w:w="108" w:type="dxa"/>
          </w:tblCellMar>
        </w:tblPrEx>
        <w:trPr>
          <w:cantSplit/>
          <w:trHeight w:val="2181"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铁矿石</w:t>
            </w:r>
          </w:p>
        </w:tc>
        <w:tc>
          <w:tcPr>
            <w:tcW w:w="6410" w:type="dxa"/>
            <w:tcBorders>
              <w:top w:val="single" w:color="000000" w:sz="4" w:space="0"/>
              <w:left w:val="single" w:color="000000" w:sz="4" w:space="0"/>
              <w:bottom w:val="single" w:color="000000" w:sz="4" w:space="0"/>
              <w:right w:val="nil"/>
            </w:tcBorders>
          </w:tcPr>
          <w:p>
            <w:pPr>
              <w:widowControl/>
              <w:suppressAutoHyphens w:val="0"/>
              <w:jc w:val="left"/>
              <w:rPr>
                <w:rFonts w:hint="eastAsia"/>
                <w:color w:val="auto"/>
              </w:rPr>
            </w:pPr>
            <w:r>
              <w:rPr>
                <w:rFonts w:hint="cs"/>
                <w:color w:val="auto"/>
              </w:rPr>
              <w:t xml:space="preserve"> </w:t>
            </w:r>
            <w:r>
              <w:rPr>
                <w:color w:val="auto"/>
              </w:rPr>
              <w:t xml:space="preserve"> </w:t>
            </w:r>
            <w:r>
              <w:rPr>
                <w:rFonts w:hint="eastAsia"/>
                <w:color w:val="auto"/>
              </w:rPr>
              <w:t xml:space="preserve">  昨日进口铁矿港口现货全天价格下跌10-38。现青岛港PB粉972跌33，超特粉701跌29；曹妃甸港PB粉985跌38，超特粉718跌22；天津港PB粉995跌35，混合粉825跌10；江内港PB粉1012跌20，超特粉745跌15；鲅鱼圈港PB粉1025跌36；防城港港PB粉990跌30。</w:t>
            </w:r>
          </w:p>
          <w:p>
            <w:pPr>
              <w:widowControl/>
              <w:suppressAutoHyphens w:val="0"/>
              <w:jc w:val="left"/>
              <w:rPr>
                <w:rFonts w:hint="eastAsia"/>
                <w:color w:val="auto"/>
              </w:rPr>
            </w:pPr>
            <w:r>
              <w:rPr>
                <w:rFonts w:hint="eastAsia"/>
                <w:color w:val="auto"/>
              </w:rPr>
              <w:t xml:space="preserve">    4月4日-11日本期Mysteel澳洲巴西19港铁矿发运总量2283.5万吨，环比增加55.8万吨；澳洲发运量1731.3万吨，环比减少0.3万吨；其中澳洲发往中国的量1322.3万吨，环比减少156.7万吨；巴西发运量552.2万吨，环比增加56.1万吨。</w:t>
            </w:r>
          </w:p>
          <w:p>
            <w:pPr>
              <w:widowControl/>
              <w:suppressAutoHyphens w:val="0"/>
              <w:jc w:val="left"/>
              <w:rPr>
                <w:rFonts w:hint="eastAsia"/>
                <w:color w:val="auto"/>
              </w:rPr>
            </w:pPr>
            <w:r>
              <w:rPr>
                <w:rFonts w:hint="eastAsia"/>
                <w:color w:val="auto"/>
              </w:rPr>
              <w:t xml:space="preserve">    4月4日-10日中国47港铁矿石到港总量1961.8万吨，环比减少186.6万吨；中国45港铁矿石到港总量1885.8万吨，环比减少133.2万吨；北方六港铁矿石到港总量为867.2万吨，环比减少37.7万吨。</w:t>
            </w:r>
          </w:p>
          <w:p>
            <w:pPr>
              <w:widowControl/>
              <w:suppressAutoHyphens w:val="0"/>
              <w:jc w:val="left"/>
              <w:rPr>
                <w:rFonts w:hint="eastAsia" w:eastAsia="宋体"/>
                <w:color w:val="auto"/>
                <w:lang w:val="en-US" w:eastAsia="zh-CN"/>
              </w:rPr>
            </w:pPr>
            <w:r>
              <w:rPr>
                <w:rFonts w:hint="eastAsia"/>
                <w:color w:val="auto"/>
              </w:rPr>
              <w:t xml:space="preserve">    铁矿石市场处于高位震荡态势，当前钢厂高炉仍处于复产过程中，华北地区生产随着疫情缓解生产季节性有所恢复，铁水产量继续上行，港口库存保持去库状态，铁矿石供需边际改善，但疫情扰动下终端需求持续疲弱和钢铁低利润，使得矿石价格高位承压震荡</w:t>
            </w:r>
            <w:r>
              <w:rPr>
                <w:rFonts w:hint="eastAsia"/>
                <w:color w:val="auto"/>
                <w:lang w:eastAsia="zh-CN"/>
              </w:rPr>
              <w:t>。</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建议短线或波段交易。</w:t>
            </w:r>
          </w:p>
          <w:p>
            <w:pPr>
              <w:rPr>
                <w:rFonts w:hint="eastAsia"/>
                <w:b/>
                <w:color w:val="auto"/>
                <w:lang w:eastAsia="zh-CN"/>
              </w:rPr>
            </w:pPr>
          </w:p>
          <w:p>
            <w:pPr>
              <w:rPr>
                <w:b/>
                <w:color w:val="auto"/>
                <w:lang w:eastAsia="zh-CN"/>
              </w:rPr>
            </w:pPr>
            <w:r>
              <w:rPr>
                <w:rFonts w:hint="eastAsia"/>
                <w:b/>
                <w:color w:val="auto"/>
                <w:lang w:eastAsia="zh-CN"/>
              </w:rPr>
              <w:t>(杨</w:t>
            </w:r>
            <w:r>
              <w:rPr>
                <w:rFonts w:hint="eastAsia"/>
                <w:b/>
                <w:color w:val="auto"/>
                <w:lang w:eastAsia="zh-CN"/>
              </w:rPr>
              <w:t>俊林)</w:t>
            </w:r>
          </w:p>
        </w:tc>
      </w:tr>
      <w:tr>
        <w:tblPrEx>
          <w:tblCellMar>
            <w:top w:w="0" w:type="dxa"/>
            <w:left w:w="108" w:type="dxa"/>
            <w:bottom w:w="0" w:type="dxa"/>
            <w:right w:w="108" w:type="dxa"/>
          </w:tblCellMar>
        </w:tblPrEx>
        <w:trPr>
          <w:cantSplit/>
          <w:trHeight w:val="4922"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煤焦</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rPr>
            </w:pPr>
            <w:r>
              <w:rPr>
                <w:rFonts w:hint="eastAsia"/>
                <w:color w:val="auto"/>
              </w:rPr>
              <w:t>现货市场，焦炭新一轮提涨落地，焦煤价格稳中向好。山西介休1.3硫主焦2600元/吨，蒙5金泉提货价2950元/吨，澳煤到岸价410美元/吨（+11）；吕梁准一出厂价3550元/吨（+200），唐山二级焦到厂价3650元/吨，青岛港准一焦平仓价3800元/吨（+200）。</w:t>
            </w:r>
          </w:p>
          <w:p>
            <w:pPr>
              <w:widowControl/>
              <w:suppressAutoHyphens w:val="0"/>
              <w:ind w:firstLine="630" w:firstLineChars="300"/>
              <w:jc w:val="left"/>
              <w:rPr>
                <w:rFonts w:hint="eastAsia"/>
                <w:color w:val="auto"/>
              </w:rPr>
            </w:pPr>
            <w:r>
              <w:rPr>
                <w:rFonts w:hint="eastAsia"/>
                <w:color w:val="auto"/>
              </w:rPr>
              <w:t>国务院应对新型冠状病毒感染肺炎疫情联防联控机制发布关于切实做好货运物流保通保畅工作的通知。严禁擅自阻断或关闭高速公路、普通公路、航道船闸。不得擅自关停高速公路服务区、港口码头、铁路车站和航空机场，或擅自停止国际航行船舶船员换班。</w:t>
            </w:r>
          </w:p>
          <w:p>
            <w:pPr>
              <w:widowControl/>
              <w:suppressAutoHyphens w:val="0"/>
              <w:ind w:firstLine="630" w:firstLineChars="300"/>
              <w:jc w:val="left"/>
              <w:rPr>
                <w:rFonts w:hint="eastAsia"/>
                <w:color w:val="auto"/>
              </w:rPr>
            </w:pPr>
            <w:r>
              <w:rPr>
                <w:rFonts w:hint="eastAsia"/>
                <w:color w:val="auto"/>
              </w:rPr>
              <w:t>中国3月份社会融资规模增量46500亿元，预期37000亿元，2月为11900亿元；中国3月份货币供应M2同比增长9.7%，预期9.4%，2月为9.2%；中国3月份新增人民币贷款31300亿元，预期28000亿元，2月为12300亿元。</w:t>
            </w:r>
          </w:p>
          <w:p>
            <w:pPr>
              <w:widowControl/>
              <w:suppressAutoHyphens w:val="0"/>
              <w:ind w:firstLine="630" w:firstLineChars="300"/>
              <w:jc w:val="left"/>
              <w:rPr>
                <w:rFonts w:hint="eastAsia" w:eastAsia="宋体"/>
                <w:color w:val="auto"/>
                <w:lang w:val="en-US" w:eastAsia="zh-CN"/>
              </w:rPr>
            </w:pPr>
            <w:r>
              <w:rPr>
                <w:rFonts w:hint="eastAsia"/>
                <w:color w:val="auto"/>
              </w:rPr>
              <w:t>近期受补库需求推动，双焦现货持稳向好。不过盘面已反映新一轮提涨预期，短期疫情持续对物流造成阻碍，焦钢企业开工下滑，双焦需求减弱，且市场重新担忧终端需求不及预期的风险，盘面高位压力增大，近期高位震荡走势</w:t>
            </w:r>
            <w:r>
              <w:rPr>
                <w:rFonts w:hint="eastAsia"/>
                <w:color w:val="auto"/>
                <w:lang w:eastAsia="zh-CN"/>
              </w:rPr>
              <w:t>。</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操作上暂时观望。</w:t>
            </w:r>
          </w:p>
          <w:p>
            <w:pPr>
              <w:rPr>
                <w:rFonts w:hint="eastAsia"/>
                <w:b/>
                <w:color w:val="auto"/>
                <w:lang w:eastAsia="zh-CN"/>
              </w:rPr>
            </w:pPr>
          </w:p>
          <w:p>
            <w:pPr>
              <w:rPr>
                <w:b/>
                <w:color w:val="auto"/>
                <w:lang w:eastAsia="zh-CN"/>
              </w:rPr>
            </w:pPr>
            <w:r>
              <w:rPr>
                <w:rFonts w:hint="eastAsia"/>
                <w:b/>
                <w:color w:val="auto"/>
                <w:lang w:eastAsia="zh-CN"/>
              </w:rPr>
              <w:t>（李岩</w:t>
            </w:r>
            <w:r>
              <w:rPr>
                <w:rFonts w:hint="eastAsia"/>
                <w:b/>
                <w:color w:val="auto"/>
                <w:lang w:eastAsia="zh-CN"/>
              </w:rPr>
              <w:t>）</w:t>
            </w:r>
          </w:p>
        </w:tc>
      </w:tr>
      <w:tr>
        <w:tblPrEx>
          <w:tblCellMar>
            <w:top w:w="0" w:type="dxa"/>
            <w:left w:w="108" w:type="dxa"/>
            <w:bottom w:w="0" w:type="dxa"/>
            <w:right w:w="108" w:type="dxa"/>
          </w:tblCellMar>
        </w:tblPrEx>
        <w:trPr>
          <w:cantSplit/>
          <w:trHeight w:val="934"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铝</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lang w:val="en-US" w:eastAsia="zh-CN"/>
              </w:rPr>
            </w:pPr>
            <w:r>
              <w:rPr>
                <w:rFonts w:hint="eastAsia"/>
                <w:color w:val="auto"/>
                <w:lang w:val="en-US" w:eastAsia="zh-CN"/>
              </w:rPr>
              <w:t>昨日沪铝震荡下行，沪铝主力月2205合约收至21005元/吨，跌790元，跌幅3.62%。现货方面，11日长江现货成交价格21210-21250元/吨，跌560元，贴水80-贴水40；广东南储报21250-21310元/吨，跌550元；华通报21260-21300元/吨，跌570元。接货商下调报价出货但幅度有限，接货方保持观望态度按需采购，实际需求一般，成交不理想。</w:t>
            </w:r>
          </w:p>
          <w:p>
            <w:pPr>
              <w:widowControl/>
              <w:suppressAutoHyphens w:val="0"/>
              <w:ind w:firstLine="630" w:firstLineChars="300"/>
              <w:jc w:val="left"/>
              <w:rPr>
                <w:rFonts w:hint="eastAsia"/>
                <w:color w:val="auto"/>
                <w:lang w:val="en-US" w:eastAsia="zh-CN"/>
              </w:rPr>
            </w:pPr>
            <w:r>
              <w:rPr>
                <w:rFonts w:hint="eastAsia"/>
                <w:color w:val="auto"/>
                <w:lang w:val="en-US" w:eastAsia="zh-CN"/>
              </w:rPr>
              <w:t>11日，SMM统计国内电解铝社会库存106.1万吨，较上周四库存减少0.5万吨。昨日西澳FOB氧化铝报价395美元/吨，跌破400美元/吨的关口，海内价差收窄至410元/吨，氧化铝出口套利的机会开始减少. 在国内新投产能逐步放量的前提下，出口数量或低于此前每月出口15-20万吨左右的预期。</w:t>
            </w:r>
          </w:p>
          <w:p>
            <w:pPr>
              <w:widowControl/>
              <w:suppressAutoHyphens w:val="0"/>
              <w:ind w:firstLine="630" w:firstLineChars="300"/>
              <w:jc w:val="left"/>
              <w:rPr>
                <w:color w:val="auto"/>
              </w:rPr>
            </w:pPr>
            <w:r>
              <w:rPr>
                <w:rFonts w:hint="eastAsia"/>
                <w:color w:val="auto"/>
                <w:lang w:val="en-US" w:eastAsia="zh-CN"/>
              </w:rPr>
              <w:t>目前西方国家继续对俄罗斯实施新的制裁，俄铝向外出口继续受阻，欧洲天然气价格有所回落，海外供应忧虑降温。国内云南、广西等地电解铝复产及新增产能投产提速，产量有望赶超去年同期。下游受疫情影响加工企业开工持续走弱，需求复苏受阻。短期需求疲软铝价上涨乏力，加上美联储鹰派言论致有色整体承压，美元持续走强，而国内疫情依旧严峻，运输限制有所缓解但还未恢复正常，国内铝供需错配状态持续，铝价承压运行为主，持续关注疫情对产业链的影响。</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操作上观望或短线交易。</w:t>
            </w:r>
          </w:p>
          <w:p>
            <w:pPr>
              <w:rPr>
                <w:rFonts w:hint="eastAsia"/>
                <w:b/>
                <w:color w:val="auto"/>
                <w:lang w:eastAsia="zh-CN"/>
              </w:rPr>
            </w:pPr>
          </w:p>
          <w:p>
            <w:pPr>
              <w:rPr>
                <w:b/>
                <w:color w:val="auto"/>
                <w:lang w:eastAsia="zh-CN"/>
              </w:rPr>
            </w:pPr>
            <w:r>
              <w:rPr>
                <w:rFonts w:hint="eastAsia"/>
                <w:b/>
                <w:color w:val="auto"/>
                <w:lang w:eastAsia="zh-CN"/>
              </w:rPr>
              <w:t>（有</w:t>
            </w:r>
            <w:r>
              <w:rPr>
                <w:rFonts w:hint="eastAsia"/>
                <w:b/>
                <w:color w:val="auto"/>
                <w:lang w:eastAsia="zh-CN"/>
              </w:rPr>
              <w:t>色组）</w:t>
            </w:r>
          </w:p>
        </w:tc>
      </w:tr>
      <w:tr>
        <w:tblPrEx>
          <w:tblCellMar>
            <w:top w:w="0" w:type="dxa"/>
            <w:left w:w="108" w:type="dxa"/>
            <w:bottom w:w="0" w:type="dxa"/>
            <w:right w:w="108" w:type="dxa"/>
          </w:tblCellMar>
        </w:tblPrEx>
        <w:trPr>
          <w:cantSplit/>
          <w:trHeight w:val="1287" w:hRule="atLeast"/>
        </w:trPr>
        <w:tc>
          <w:tcPr>
            <w:tcW w:w="534" w:type="dxa"/>
            <w:tcBorders>
              <w:top w:val="single" w:color="000000" w:sz="4" w:space="0"/>
              <w:left w:val="single" w:color="000000" w:sz="4" w:space="0"/>
              <w:bottom w:val="single" w:color="000000" w:sz="4" w:space="0"/>
              <w:right w:val="nil"/>
            </w:tcBorders>
            <w:vAlign w:val="top"/>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天胶</w:t>
            </w:r>
          </w:p>
        </w:tc>
        <w:tc>
          <w:tcPr>
            <w:tcW w:w="6410" w:type="dxa"/>
            <w:tcBorders>
              <w:top w:val="single" w:color="000000" w:sz="4" w:space="0"/>
              <w:left w:val="single" w:color="000000" w:sz="4" w:space="0"/>
              <w:bottom w:val="single" w:color="000000" w:sz="4" w:space="0"/>
              <w:right w:val="nil"/>
            </w:tcBorders>
            <w:vAlign w:val="top"/>
          </w:tcPr>
          <w:p>
            <w:pPr>
              <w:widowControl/>
              <w:suppressAutoHyphens w:val="0"/>
              <w:ind w:firstLine="630" w:firstLineChars="300"/>
              <w:jc w:val="left"/>
              <w:rPr>
                <w:rFonts w:hint="eastAsia"/>
                <w:color w:val="auto"/>
              </w:rPr>
            </w:pPr>
            <w:r>
              <w:rPr>
                <w:rFonts w:hint="eastAsia"/>
                <w:color w:val="auto"/>
              </w:rPr>
              <w:t>昨日欧美股市下挫，海外主要金融市场情绪受到压抑。国内3月金融数据总量超预期，不过在居民和企业中长期贷款方面仍表现疲弱，在疫情防控拖累国内经济的情况下，政策面仍力求发力，不过昨日中美10年期国债收益率发生倒挂，这将限制国内降息的空间，主要的政策预期还在于降准和政府发债等方面。昨日国内工业品期货指数明显继续走弱，尤其化工板块走弱明显，对天胶市场情绪有一定拖累，不过RU与整体工业品指数之间的关系较为复杂，对此应保持关注。行业方面，昨日泰国原料胶水和杯胶价格持稳，整体保持偏强局面，国内云南西双版纳产区原料供应正常，昨日胶水参考价格在11700-12000元/吨。受到疫情影响，国内局部地区交投运输仍有所受限，下游采买谨慎，维持刚需为主，现货市场上海20年SCRWF主流价格在12800—12850元/吨；上海地区SVR3L参考价格在12850—12900元/吨；云南市场国产10#胶参考价格12000—12200元/吨。</w:t>
            </w:r>
          </w:p>
          <w:p>
            <w:pPr>
              <w:widowControl/>
              <w:suppressAutoHyphens w:val="0"/>
              <w:ind w:firstLine="630" w:firstLineChars="300"/>
              <w:jc w:val="left"/>
              <w:rPr>
                <w:rFonts w:hint="eastAsia" w:eastAsia="宋体"/>
                <w:color w:val="auto"/>
                <w:lang w:eastAsia="zh-CN"/>
              </w:rPr>
            </w:pPr>
            <w:r>
              <w:rPr>
                <w:rFonts w:hint="eastAsia"/>
                <w:color w:val="auto"/>
              </w:rPr>
              <w:t>技术面：昨日RU2209保持低位窄幅震荡， 13400-13500继续体现出明显的支撑作用，上方短期压力13600同样限制了RU的反弹幅度，在持续震荡之后，投资者需密切关注短期的方向选择。</w:t>
            </w:r>
          </w:p>
        </w:tc>
        <w:tc>
          <w:tcPr>
            <w:tcW w:w="2050" w:type="dxa"/>
            <w:tcBorders>
              <w:top w:val="single" w:color="000000" w:sz="4" w:space="0"/>
              <w:left w:val="single" w:color="000000" w:sz="4" w:space="0"/>
              <w:bottom w:val="single" w:color="000000" w:sz="4" w:space="0"/>
              <w:right w:val="single" w:color="000000" w:sz="4" w:space="0"/>
            </w:tcBorders>
            <w:vAlign w:val="top"/>
          </w:tcPr>
          <w:p>
            <w:pPr>
              <w:rPr>
                <w:rFonts w:hint="eastAsia"/>
                <w:b/>
                <w:color w:val="auto"/>
                <w:lang w:eastAsia="zh-CN"/>
              </w:rPr>
            </w:pPr>
            <w:r>
              <w:rPr>
                <w:rFonts w:hint="eastAsia"/>
                <w:b/>
                <w:color w:val="auto"/>
                <w:lang w:eastAsia="zh-CN"/>
              </w:rPr>
              <w:t>操作建议：短线密切关注多空博弈方向，中线投资者考虑逢跌至低价左侧少量布局多单。</w:t>
            </w:r>
          </w:p>
          <w:p>
            <w:pPr>
              <w:rPr>
                <w:rFonts w:hint="eastAsia"/>
                <w:b/>
                <w:color w:val="auto"/>
                <w:lang w:eastAsia="zh-CN"/>
              </w:rPr>
            </w:pPr>
          </w:p>
          <w:p>
            <w:pPr>
              <w:rPr>
                <w:b/>
                <w:color w:val="auto"/>
                <w:lang w:eastAsia="zh-CN"/>
              </w:rPr>
            </w:pPr>
            <w:r>
              <w:rPr>
                <w:rFonts w:hint="eastAsia"/>
                <w:b/>
                <w:color w:val="auto"/>
                <w:lang w:eastAsia="zh-CN"/>
              </w:rPr>
              <w:t>（王海峰）</w:t>
            </w:r>
          </w:p>
        </w:tc>
      </w:tr>
      <w:tr>
        <w:tblPrEx>
          <w:tblCellMar>
            <w:top w:w="0" w:type="dxa"/>
            <w:left w:w="108" w:type="dxa"/>
            <w:bottom w:w="0" w:type="dxa"/>
            <w:right w:w="108" w:type="dxa"/>
          </w:tblCellMar>
        </w:tblPrEx>
        <w:trPr>
          <w:cantSplit/>
          <w:trHeight w:val="1287" w:hRule="atLeast"/>
        </w:trPr>
        <w:tc>
          <w:tcPr>
            <w:tcW w:w="534" w:type="dxa"/>
            <w:tcBorders>
              <w:top w:val="single" w:color="000000" w:sz="4" w:space="0"/>
              <w:left w:val="single" w:color="000000" w:sz="4" w:space="0"/>
              <w:bottom w:val="single" w:color="000000" w:sz="4" w:space="0"/>
              <w:right w:val="nil"/>
            </w:tcBorders>
            <w:vAlign w:val="top"/>
          </w:tcPr>
          <w:p>
            <w:pPr>
              <w:widowControl/>
              <w:jc w:val="left"/>
              <w:rPr>
                <w:rFonts w:hint="default" w:ascii="宋体" w:hAnsi="宋体" w:eastAsia="宋体" w:cs="宋体"/>
                <w:b/>
                <w:color w:val="auto"/>
                <w:kern w:val="0"/>
                <w:sz w:val="21"/>
                <w:szCs w:val="21"/>
                <w:lang w:val="en-US" w:eastAsia="zh-CN" w:bidi="ar-SA"/>
              </w:rPr>
            </w:pPr>
            <w:r>
              <w:rPr>
                <w:rFonts w:hint="eastAsia" w:ascii="宋体" w:hAnsi="宋体" w:cs="宋体"/>
                <w:b/>
                <w:color w:val="auto"/>
                <w:kern w:val="0"/>
                <w:sz w:val="21"/>
                <w:szCs w:val="21"/>
                <w:lang w:val="en-US" w:eastAsia="zh-CN" w:bidi="ar-SA"/>
              </w:rPr>
              <w:t>原油</w:t>
            </w:r>
          </w:p>
        </w:tc>
        <w:tc>
          <w:tcPr>
            <w:tcW w:w="6410" w:type="dxa"/>
            <w:tcBorders>
              <w:top w:val="single" w:color="000000" w:sz="4" w:space="0"/>
              <w:left w:val="single" w:color="000000" w:sz="4" w:space="0"/>
              <w:bottom w:val="single" w:color="000000" w:sz="4" w:space="0"/>
              <w:right w:val="nil"/>
            </w:tcBorders>
            <w:vAlign w:val="top"/>
          </w:tcPr>
          <w:p>
            <w:pPr>
              <w:widowControl/>
              <w:suppressAutoHyphens w:val="0"/>
              <w:ind w:firstLine="630" w:firstLineChars="300"/>
              <w:jc w:val="left"/>
              <w:rPr>
                <w:rFonts w:hint="eastAsia"/>
                <w:color w:val="auto"/>
              </w:rPr>
            </w:pPr>
            <w:r>
              <w:rPr>
                <w:rFonts w:hint="eastAsia"/>
                <w:color w:val="auto"/>
              </w:rPr>
              <w:t>美国能源政策辩论：共和党表示拜登政策使生产商不愿投资更多资金，而民主党人则表示该行业有责任将利润分配给更多的产出而不是股东回报。拜登签署暂停与俄罗斯正常贸易地位的法案，提高了从俄罗斯进口金属的关税，立法允许美国在2024年之前征收更高的关税。美国银行：维持2022-2023年布伦特原油平均价格102美元/桶的预测，将布伦特原油夏季峰值价格降至120美元/桶。欧美市场，汽油裂解依然坚挺，柴油和航煤裂解回落，但仍处于同期高位，新加坡市场，汽油、柴油、航煤裂解依然保持强势，在历史高位徘徊，中国市场受疫情的影响，成品油裂解涨幅低于国外市场。根据俄罗斯能源部旗下CDU-TEK的数据，从4月1日到6日，俄罗斯平均原油日产量为143.6万吨，相当于每天约1052万桶，比3月日均1110万桶的水平减少4.5%。周三公布的EIA报告显示，上周美国国内原油产量增加10万桶至1180万桶/日。除却战略储备的商业原油库存增加242.1万桶至4.124亿桶，增加0.6%。有外媒称，周三，美国众议院能源调查委员会对埃克森美孚、英国石油、雪佛龙、壳牌美国分公司等6家公司的首席执行官进行质询，质询时间长达6小时。3月份中国独立炼油厂的进口从2月份的四个月低点回升6.7%至1405.5万吨，但这一趋势在4月份难以持续。国际能源署（IEA）确认全球释储规模达2.4亿桶。美国至4月1日当周EIA原油库存增加242.1万桶，预期减少205.6万桶，前值减少344.9万桶。上周美国国内原油产量增加10万桶至1180万桶/日。</w:t>
            </w:r>
          </w:p>
          <w:p>
            <w:pPr>
              <w:widowControl/>
              <w:suppressAutoHyphens w:val="0"/>
              <w:ind w:firstLine="630" w:firstLineChars="300"/>
              <w:jc w:val="left"/>
              <w:rPr>
                <w:rFonts w:hint="eastAsia" w:ascii="Times New Roman" w:hAnsi="Times New Roman" w:eastAsia="宋体" w:cs="Times New Roman"/>
                <w:color w:val="auto"/>
                <w:kern w:val="2"/>
                <w:sz w:val="21"/>
                <w:lang w:val="en-US" w:eastAsia="zh-CN" w:bidi="ar-SA"/>
              </w:rPr>
            </w:pPr>
            <w:r>
              <w:rPr>
                <w:rFonts w:hint="eastAsia"/>
                <w:color w:val="auto"/>
              </w:rPr>
              <w:t>操作建议: 乌克兰</w:t>
            </w:r>
            <w:bookmarkStart w:id="0" w:name="_GoBack"/>
            <w:bookmarkEnd w:id="0"/>
            <w:r>
              <w:rPr>
                <w:rFonts w:hint="eastAsia"/>
                <w:color w:val="auto"/>
              </w:rPr>
              <w:t>再次释放和谈积极信号，且国际能源署联合释放战略储备使得供应担忧缓和，国际油价下跌。NYMEX原油期货05合约94.29跌3.97美元/桶或4.04%；ICE布油期货06合约98.48跌4.30美元/桶或4.18%。</w:t>
            </w:r>
          </w:p>
        </w:tc>
        <w:tc>
          <w:tcPr>
            <w:tcW w:w="2050" w:type="dxa"/>
            <w:tcBorders>
              <w:top w:val="single" w:color="000000" w:sz="4" w:space="0"/>
              <w:left w:val="single" w:color="000000" w:sz="4" w:space="0"/>
              <w:bottom w:val="single" w:color="000000" w:sz="4" w:space="0"/>
              <w:right w:val="single" w:color="000000" w:sz="4" w:space="0"/>
            </w:tcBorders>
            <w:vAlign w:val="top"/>
          </w:tcPr>
          <w:p>
            <w:pPr>
              <w:rPr>
                <w:rFonts w:hint="eastAsia"/>
                <w:b/>
                <w:color w:val="auto"/>
                <w:lang w:eastAsia="zh-CN"/>
              </w:rPr>
            </w:pPr>
            <w:r>
              <w:rPr>
                <w:rFonts w:hint="eastAsia"/>
                <w:b/>
                <w:color w:val="auto"/>
                <w:lang w:eastAsia="zh-CN"/>
              </w:rPr>
              <w:t>操作思路以震荡偏空为主，关注布伦特原油震荡区间95-105美元/桶，注意止盈止损。</w:t>
            </w:r>
          </w:p>
          <w:p>
            <w:pPr>
              <w:rPr>
                <w:rFonts w:hint="eastAsia"/>
                <w:b/>
                <w:color w:val="auto"/>
                <w:lang w:eastAsia="zh-CN"/>
              </w:rPr>
            </w:pPr>
          </w:p>
          <w:p>
            <w:pPr>
              <w:rPr>
                <w:rFonts w:hint="eastAsia" w:ascii="Times New Roman" w:hAnsi="Times New Roman" w:eastAsia="宋体" w:cs="Times New Roman"/>
                <w:b/>
                <w:color w:val="auto"/>
                <w:kern w:val="2"/>
                <w:sz w:val="21"/>
                <w:lang w:val="en-US" w:eastAsia="zh-CN" w:bidi="ar-SA"/>
              </w:rPr>
            </w:pPr>
            <w:r>
              <w:rPr>
                <w:rFonts w:hint="eastAsia"/>
                <w:b/>
                <w:color w:val="auto"/>
                <w:lang w:eastAsia="zh-CN"/>
              </w:rPr>
              <w:t>（</w:t>
            </w:r>
            <w:r>
              <w:rPr>
                <w:rFonts w:hint="eastAsia"/>
                <w:b/>
                <w:color w:val="auto"/>
                <w:lang w:val="en-US" w:eastAsia="zh-CN"/>
              </w:rPr>
              <w:t>黄世俊</w:t>
            </w:r>
            <w:r>
              <w:rPr>
                <w:rFonts w:hint="eastAsia"/>
                <w:b/>
                <w:color w:val="auto"/>
                <w:lang w:eastAsia="zh-CN"/>
              </w:rPr>
              <w:t>）</w:t>
            </w:r>
          </w:p>
        </w:tc>
      </w:tr>
    </w:tbl>
    <w:p>
      <w:pPr>
        <w:widowControl/>
        <w:jc w:val="left"/>
        <w:rPr>
          <w:rFonts w:ascii="黑体" w:eastAsia="黑体" w:cs="宋体"/>
          <w:color w:val="auto"/>
          <w:szCs w:val="21"/>
        </w:rPr>
      </w:pPr>
      <w:r>
        <w:rPr>
          <w:rFonts w:hint="eastAsia" w:ascii="黑体" w:eastAsia="黑体" w:cs="宋体"/>
          <w:color w:val="auto"/>
          <w:szCs w:val="21"/>
        </w:rPr>
        <w:t>本报告中的信息均来源于公开资料，我公司对这些信息的准确性和完整性不作任何保证，报告中的内容和意见仅供参考。我公司及员工对使用本报刊及其内容所引发的任何直接或间接损失概不负责。本报刊版权归道通期货所有。</w:t>
      </w: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w:rPr>
        <w:lang w:eastAsia="zh-CN"/>
      </w:rPr>
      <mc:AlternateContent>
        <mc:Choice Requires="wps">
          <w:drawing>
            <wp:anchor distT="0" distB="0" distL="0" distR="0" simplePos="0" relativeHeight="251659264" behindDoc="0" locked="0" layoutInCell="1" allowOverlap="1">
              <wp:simplePos x="0" y="0"/>
              <wp:positionH relativeFrom="page">
                <wp:posOffset>6361430</wp:posOffset>
              </wp:positionH>
              <wp:positionV relativeFrom="paragraph">
                <wp:posOffset>635</wp:posOffset>
              </wp:positionV>
              <wp:extent cx="246380" cy="124460"/>
              <wp:effectExtent l="8255" t="635" r="2540" b="8255"/>
              <wp:wrapSquare wrapText="largest"/>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46380" cy="124460"/>
                      </a:xfrm>
                      <a:prstGeom prst="rect">
                        <a:avLst/>
                      </a:prstGeom>
                      <a:solidFill>
                        <a:srgbClr val="FFFFFF">
                          <a:alpha val="0"/>
                        </a:srgbClr>
                      </a:solidFill>
                      <a:ln>
                        <a:noFill/>
                      </a:ln>
                      <a:effectLst/>
                    </wps:spPr>
                    <wps:txbx>
                      <w:txbxContent>
                        <w:p>
                          <w:pPr>
                            <w:pStyle w:val="2"/>
                          </w:pPr>
                          <w:r>
                            <w:fldChar w:fldCharType="begin"/>
                          </w:r>
                          <w:r>
                            <w:instrText xml:space="preserve"> PAGE </w:instrText>
                          </w:r>
                          <w:r>
                            <w:fldChar w:fldCharType="separate"/>
                          </w:r>
                          <w:r>
                            <w:t>6</w:t>
                          </w:r>
                          <w:r>
                            <w:fldChar w:fldCharType="end"/>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00.9pt;margin-top:0.05pt;height:9.8pt;width:19.4pt;mso-position-horizontal-relative:page;mso-wrap-distance-bottom:0pt;mso-wrap-distance-left:0pt;mso-wrap-distance-right:0pt;mso-wrap-distance-top:0pt;z-index:251659264;mso-width-relative:page;mso-height-relative:page;" fillcolor="#FFFFFF" filled="t" stroked="f" coordsize="21600,21600" o:gfxdata="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LcXJT1AAAAAkBAAAPAAAAAAAAAAEAIAAAACIAAABkcnMvZG93bnJldi54bWxQSwEC&#10;FAAUAAAACACHTuJAExrNKjECAABYBAAADgAAAAAAAAABACAAAAAjAQAAZHJzL2Uyb0RvYy54bWxQ&#10;SwUGAAAAAAYABgBZAQAAxgUAAAAA&#10;">
              <v:fill on="t" opacity="0f" focussize="0,0"/>
              <v:stroke on="f"/>
              <v:imagedata o:title=""/>
              <o:lock v:ext="edit" aspectratio="f"/>
              <v:textbox inset="0mm,0mm,0mm,0mm">
                <w:txbxContent>
                  <w:p>
                    <w:pPr>
                      <w:pStyle w:val="2"/>
                    </w:pPr>
                    <w:r>
                      <w:fldChar w:fldCharType="begin"/>
                    </w:r>
                    <w:r>
                      <w:instrText xml:space="preserve"> PAGE </w:instrText>
                    </w:r>
                    <w:r>
                      <w:fldChar w:fldCharType="separate"/>
                    </w:r>
                    <w:r>
                      <w:t>6</w:t>
                    </w:r>
                    <w:r>
                      <w:fldChar w:fldCharType="end"/>
                    </w:r>
                  </w:p>
                </w:txbxContent>
              </v:textbox>
              <w10:wrap type="square" side="largest"/>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lang w:eastAsia="zh-CN"/>
      </w:rPr>
      <w:drawing>
        <wp:inline distT="0" distB="0" distL="0" distR="0">
          <wp:extent cx="4343400" cy="647700"/>
          <wp:effectExtent l="0" t="0" r="0" b="0"/>
          <wp:docPr id="3" name="图片 3" descr="01413417121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14134171215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4343400" cy="647700"/>
                  </a:xfrm>
                  <a:prstGeom prst="rect">
                    <a:avLst/>
                  </a:prstGeom>
                  <a:solidFill>
                    <a:srgbClr val="FFFFFF"/>
                  </a:solidFill>
                  <a:ln>
                    <a:noFill/>
                  </a:ln>
                  <a:effectLst/>
                </pic:spPr>
              </pic:pic>
            </a:graphicData>
          </a:graphic>
        </wp:inline>
      </w:drawing>
    </w:r>
    <w:r>
      <w:rPr>
        <w:rFonts w:hint="eastAsia"/>
        <w:b/>
        <w:sz w:val="24"/>
      </w:rPr>
      <w:t>研究所</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53E2C"/>
    <w:rsid w:val="000E5154"/>
    <w:rsid w:val="000F371A"/>
    <w:rsid w:val="0012356C"/>
    <w:rsid w:val="001C1FC2"/>
    <w:rsid w:val="001D4A9A"/>
    <w:rsid w:val="00212FE7"/>
    <w:rsid w:val="00293230"/>
    <w:rsid w:val="002C2C71"/>
    <w:rsid w:val="003B7B20"/>
    <w:rsid w:val="00423CD1"/>
    <w:rsid w:val="004C6700"/>
    <w:rsid w:val="004D5BD2"/>
    <w:rsid w:val="004D5EAC"/>
    <w:rsid w:val="004E76CE"/>
    <w:rsid w:val="004F7FFA"/>
    <w:rsid w:val="00525381"/>
    <w:rsid w:val="00533C3E"/>
    <w:rsid w:val="005579C3"/>
    <w:rsid w:val="00577396"/>
    <w:rsid w:val="00592B06"/>
    <w:rsid w:val="00635AE0"/>
    <w:rsid w:val="00642BBB"/>
    <w:rsid w:val="007E13BC"/>
    <w:rsid w:val="00944398"/>
    <w:rsid w:val="00956E05"/>
    <w:rsid w:val="00977AD7"/>
    <w:rsid w:val="009D7439"/>
    <w:rsid w:val="00A2026A"/>
    <w:rsid w:val="00A968EA"/>
    <w:rsid w:val="00AC565B"/>
    <w:rsid w:val="00AF5C20"/>
    <w:rsid w:val="00B5427D"/>
    <w:rsid w:val="00B57BA2"/>
    <w:rsid w:val="00BD402B"/>
    <w:rsid w:val="00C307B2"/>
    <w:rsid w:val="00C37202"/>
    <w:rsid w:val="00C56BD5"/>
    <w:rsid w:val="00CF0B5A"/>
    <w:rsid w:val="00D215DB"/>
    <w:rsid w:val="00D406FC"/>
    <w:rsid w:val="00D711A4"/>
    <w:rsid w:val="00D835F1"/>
    <w:rsid w:val="00DA0DD2"/>
    <w:rsid w:val="00F51399"/>
    <w:rsid w:val="01A17F68"/>
    <w:rsid w:val="09656767"/>
    <w:rsid w:val="099174FC"/>
    <w:rsid w:val="0C12090D"/>
    <w:rsid w:val="14E22F0B"/>
    <w:rsid w:val="16714D70"/>
    <w:rsid w:val="18B11A3E"/>
    <w:rsid w:val="18B21305"/>
    <w:rsid w:val="195C02AF"/>
    <w:rsid w:val="1A8E2066"/>
    <w:rsid w:val="1C955016"/>
    <w:rsid w:val="1CAE3AF0"/>
    <w:rsid w:val="1F7E29BD"/>
    <w:rsid w:val="20970D76"/>
    <w:rsid w:val="227F224C"/>
    <w:rsid w:val="23F270CF"/>
    <w:rsid w:val="2A7A4984"/>
    <w:rsid w:val="2D8D3BC9"/>
    <w:rsid w:val="321D62B5"/>
    <w:rsid w:val="353D5E3C"/>
    <w:rsid w:val="384D33C8"/>
    <w:rsid w:val="406C6812"/>
    <w:rsid w:val="430419B8"/>
    <w:rsid w:val="4A29450B"/>
    <w:rsid w:val="4B25247A"/>
    <w:rsid w:val="4D9E7DC0"/>
    <w:rsid w:val="4FCE0CA2"/>
    <w:rsid w:val="578723B2"/>
    <w:rsid w:val="5B922A05"/>
    <w:rsid w:val="66714647"/>
    <w:rsid w:val="66CC74E1"/>
    <w:rsid w:val="73C8743F"/>
    <w:rsid w:val="7B9137A7"/>
    <w:rsid w:val="7DFC75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Times New Roman" w:hAnsi="Times New Roman" w:eastAsia="宋体" w:cs="Times New Roman"/>
      <w:kern w:val="2"/>
      <w:sz w:val="21"/>
      <w:lang w:val="en-US" w:eastAsia="ar-SA"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qFormat/>
    <w:uiPriority w:val="0"/>
    <w:pPr>
      <w:tabs>
        <w:tab w:val="center" w:pos="4153"/>
        <w:tab w:val="right" w:pos="8306"/>
      </w:tabs>
      <w:snapToGrid w:val="0"/>
      <w:jc w:val="left"/>
    </w:pPr>
    <w:rPr>
      <w:sz w:val="18"/>
    </w:rPr>
  </w:style>
  <w:style w:type="paragraph" w:styleId="3">
    <w:name w:val="header"/>
    <w:basedOn w:val="1"/>
    <w:link w:val="7"/>
    <w:qFormat/>
    <w:uiPriority w:val="0"/>
    <w:pPr>
      <w:pBdr>
        <w:bottom w:val="single" w:color="000000" w:sz="4" w:space="1"/>
      </w:pBdr>
      <w:tabs>
        <w:tab w:val="center" w:pos="4153"/>
        <w:tab w:val="right" w:pos="8306"/>
      </w:tabs>
      <w:snapToGrid w:val="0"/>
      <w:jc w:val="center"/>
    </w:pPr>
    <w:rPr>
      <w:sz w:val="18"/>
    </w:rPr>
  </w:style>
  <w:style w:type="character" w:customStyle="1" w:styleId="6">
    <w:name w:val="页脚 字符"/>
    <w:basedOn w:val="5"/>
    <w:link w:val="2"/>
    <w:qFormat/>
    <w:uiPriority w:val="0"/>
    <w:rPr>
      <w:rFonts w:ascii="Times New Roman" w:hAnsi="Times New Roman" w:eastAsia="宋体" w:cs="Times New Roman"/>
      <w:sz w:val="18"/>
      <w:szCs w:val="20"/>
      <w:lang w:eastAsia="ar-SA"/>
    </w:rPr>
  </w:style>
  <w:style w:type="character" w:customStyle="1" w:styleId="7">
    <w:name w:val="页眉 字符"/>
    <w:basedOn w:val="5"/>
    <w:link w:val="3"/>
    <w:qFormat/>
    <w:uiPriority w:val="0"/>
    <w:rPr>
      <w:rFonts w:ascii="Times New Roman" w:hAnsi="Times New Roman" w:eastAsia="宋体" w:cs="Times New Roman"/>
      <w:sz w:val="18"/>
      <w:szCs w:val="20"/>
      <w:lang w:eastAsia="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845</Words>
  <Characters>4817</Characters>
  <Lines>40</Lines>
  <Paragraphs>11</Paragraphs>
  <TotalTime>5</TotalTime>
  <ScaleCrop>false</ScaleCrop>
  <LinksUpToDate>false</LinksUpToDate>
  <CharactersWithSpaces>5651</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2021-04-23T15:55:00Z</dcterms:created>
  <dc:creator>admin</dc:creator>
  <cp:lastModifiedBy>admin</cp:lastModifiedBy>
  <dcterms:modified xsi:type="dcterms:W3CDTF">2022-04-12T00:45:36Z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241ED9DFB688474D48B653619F6A5D07</vt:lpwstr>
  </property>
</Properties>
</file>