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color w:val="auto"/>
          <w:kern w:val="0"/>
          <w:szCs w:val="21"/>
          <w:lang w:eastAsia="zh-CN"/>
        </w:rPr>
      </w:pPr>
      <w:r>
        <w:rPr>
          <w:rFonts w:hint="eastAsia" w:ascii="宋体" w:hAnsi="宋体" w:cs="宋体"/>
          <w:color w:val="auto"/>
          <w:kern w:val="0"/>
          <w:szCs w:val="21"/>
          <w:lang w:eastAsia="zh-CN"/>
        </w:rPr>
        <w:t>道通早报</w:t>
      </w:r>
    </w:p>
    <w:p>
      <w:pPr>
        <w:widowControl/>
        <w:jc w:val="right"/>
        <w:rPr>
          <w:rFonts w:ascii="宋体" w:hAnsi="宋体" w:cs="宋体"/>
          <w:color w:val="auto"/>
          <w:kern w:val="0"/>
          <w:szCs w:val="21"/>
          <w:lang w:eastAsia="zh-CN"/>
        </w:rPr>
      </w:pPr>
      <w:bookmarkStart w:id="0" w:name="_GoBack"/>
      <w:bookmarkEnd w:id="0"/>
      <w:r>
        <w:rPr>
          <w:rFonts w:hint="eastAsia" w:ascii="宋体" w:hAnsi="宋体" w:cs="宋体"/>
          <w:color w:val="auto"/>
          <w:kern w:val="0"/>
          <w:szCs w:val="21"/>
          <w:lang w:eastAsia="zh-CN"/>
        </w:rPr>
        <w:t>日期：202</w:t>
      </w:r>
      <w:r>
        <w:rPr>
          <w:rFonts w:hint="eastAsia" w:ascii="宋体" w:hAnsi="宋体" w:cs="宋体"/>
          <w:color w:val="auto"/>
          <w:kern w:val="0"/>
          <w:szCs w:val="21"/>
          <w:lang w:val="en-US" w:eastAsia="zh-CN"/>
        </w:rPr>
        <w:t>2</w:t>
      </w:r>
      <w:r>
        <w:rPr>
          <w:rFonts w:hint="eastAsia" w:ascii="宋体" w:hAnsi="宋体" w:cs="宋体"/>
          <w:color w:val="auto"/>
          <w:kern w:val="0"/>
          <w:szCs w:val="21"/>
          <w:lang w:eastAsia="zh-CN"/>
        </w:rPr>
        <w:t>年</w:t>
      </w:r>
      <w:r>
        <w:rPr>
          <w:rFonts w:hint="eastAsia" w:ascii="宋体" w:hAnsi="宋体" w:cs="宋体"/>
          <w:color w:val="auto"/>
          <w:kern w:val="0"/>
          <w:szCs w:val="21"/>
          <w:lang w:val="en-US" w:eastAsia="zh-CN"/>
        </w:rPr>
        <w:t>4月28</w:t>
      </w:r>
      <w:r>
        <w:rPr>
          <w:rFonts w:hint="eastAsia" w:ascii="宋体" w:hAnsi="宋体" w:cs="宋体"/>
          <w:color w:val="auto"/>
          <w:kern w:val="0"/>
          <w:szCs w:val="21"/>
          <w:lang w:eastAsia="zh-CN"/>
        </w:rPr>
        <w:t>日</w:t>
      </w: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【经济要闻】</w:t>
      </w:r>
    </w:p>
    <w:p>
      <w:pPr>
        <w:rPr>
          <w:color w:val="auto"/>
        </w:rPr>
      </w:pPr>
    </w:p>
    <w:p>
      <w:pPr>
        <w:jc w:val="left"/>
        <w:rPr>
          <w:rFonts w:hint="eastAsia"/>
          <w:color w:val="auto"/>
        </w:rPr>
      </w:pPr>
    </w:p>
    <w:p>
      <w:pPr>
        <w:jc w:val="left"/>
        <w:rPr>
          <w:rFonts w:hint="eastAsia"/>
          <w:color w:val="auto"/>
        </w:rPr>
      </w:pPr>
    </w:p>
    <w:p>
      <w:pPr>
        <w:jc w:val="left"/>
        <w:rPr>
          <w:rFonts w:hint="eastAsia"/>
          <w:color w:val="auto"/>
        </w:rPr>
      </w:pPr>
      <w:r>
        <w:rPr>
          <w:rFonts w:hint="eastAsia"/>
          <w:color w:val="auto"/>
        </w:rPr>
        <w:t>【国际宏观基本面信息】</w:t>
      </w:r>
    </w:p>
    <w:p>
      <w:pPr>
        <w:jc w:val="left"/>
        <w:rPr>
          <w:rFonts w:hint="eastAsia"/>
          <w:color w:val="auto"/>
        </w:rPr>
      </w:pPr>
      <w:r>
        <w:rPr>
          <w:rFonts w:hint="eastAsia"/>
          <w:color w:val="auto"/>
        </w:rPr>
        <w:t>1   国际货币基金组织(IMF)首席经济学家称，受到多重不利因素叠加的影响，对全球经济发展的前景表示悲观</w:t>
      </w:r>
    </w:p>
    <w:p>
      <w:pPr>
        <w:jc w:val="left"/>
        <w:rPr>
          <w:rFonts w:hint="eastAsia"/>
          <w:color w:val="auto"/>
        </w:rPr>
      </w:pPr>
    </w:p>
    <w:p>
      <w:pPr>
        <w:jc w:val="left"/>
        <w:rPr>
          <w:rFonts w:hint="eastAsia"/>
          <w:color w:val="auto"/>
        </w:rPr>
      </w:pPr>
      <w:r>
        <w:rPr>
          <w:rFonts w:hint="eastAsia"/>
          <w:color w:val="auto"/>
        </w:rPr>
        <w:t>【国内宏观基本面信息】</w:t>
      </w:r>
    </w:p>
    <w:p>
      <w:pPr>
        <w:jc w:val="left"/>
        <w:rPr>
          <w:rFonts w:hint="eastAsia"/>
          <w:color w:val="auto"/>
        </w:rPr>
      </w:pPr>
      <w:r>
        <w:rPr>
          <w:rFonts w:hint="eastAsia"/>
          <w:color w:val="auto"/>
        </w:rPr>
        <w:t>1  国务院总理李克强4月27日主持召开国务院常务会议，决定加大稳岗促就业政策力度，保持就业稳定和经济平稳运行；听取交通物流保通保畅工作汇报，要求进一步打通堵点、畅通循环。</w:t>
      </w:r>
    </w:p>
    <w:p>
      <w:pPr>
        <w:jc w:val="left"/>
        <w:rPr>
          <w:rFonts w:hint="eastAsia"/>
          <w:color w:val="auto"/>
        </w:rPr>
      </w:pPr>
      <w:r>
        <w:rPr>
          <w:rFonts w:hint="eastAsia"/>
          <w:color w:val="auto"/>
        </w:rPr>
        <w:t>2  发改委：积极扩大有效投资，是当前宏观政策发力重点，既有利于扩大当前需求、应对经济下行压力，又有利于优化供给结构、推动高质量发展。</w:t>
      </w:r>
    </w:p>
    <w:p>
      <w:pPr>
        <w:jc w:val="left"/>
        <w:rPr>
          <w:rFonts w:hint="eastAsia"/>
          <w:color w:val="auto"/>
        </w:rPr>
      </w:pPr>
      <w:r>
        <w:rPr>
          <w:rFonts w:hint="eastAsia"/>
          <w:color w:val="auto"/>
        </w:rPr>
        <w:t>3   统计局：1―3月份全国规模以上工业企业利润增长8.5%，其中制造业实现利润总额下降2.1%；增长的主要是煤炭开采和洗选业利润总额同比增长1.89倍，石油和天然气开采业增长1.51倍，有色金属冶炼和压延加工业增长52.9%，</w:t>
      </w:r>
    </w:p>
    <w:p>
      <w:pPr>
        <w:jc w:val="left"/>
        <w:rPr>
          <w:rFonts w:hint="eastAsia"/>
          <w:color w:val="auto"/>
        </w:rPr>
      </w:pPr>
    </w:p>
    <w:p>
      <w:pPr>
        <w:jc w:val="left"/>
        <w:rPr>
          <w:rFonts w:hint="eastAsia"/>
          <w:color w:val="auto"/>
        </w:rPr>
      </w:pPr>
      <w:r>
        <w:rPr>
          <w:rFonts w:hint="eastAsia"/>
          <w:color w:val="auto"/>
        </w:rPr>
        <w:t>【当日重要经济数据】</w:t>
      </w:r>
    </w:p>
    <w:p>
      <w:pPr>
        <w:jc w:val="left"/>
        <w:rPr>
          <w:rFonts w:hint="eastAsia"/>
          <w:color w:val="auto"/>
        </w:rPr>
      </w:pPr>
      <w:r>
        <w:rPr>
          <w:rFonts w:hint="eastAsia"/>
          <w:color w:val="auto"/>
        </w:rPr>
        <w:t>11:00</w:t>
      </w:r>
      <w:r>
        <w:rPr>
          <w:rFonts w:hint="eastAsia"/>
          <w:color w:val="auto"/>
        </w:rPr>
        <w:tab/>
      </w:r>
      <w:r>
        <w:rPr>
          <w:rFonts w:hint="eastAsia"/>
          <w:color w:val="auto"/>
        </w:rPr>
        <w:t>日本4月央行政策余额利率(%)</w:t>
      </w:r>
      <w:r>
        <w:rPr>
          <w:rFonts w:hint="eastAsia"/>
          <w:color w:val="auto"/>
        </w:rPr>
        <w:tab/>
      </w:r>
      <w:r>
        <w:rPr>
          <w:rFonts w:hint="eastAsia"/>
          <w:color w:val="auto"/>
        </w:rPr>
        <w:t>-0.1</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日本4月央行10年期国债收益率目标(%)</w:t>
      </w:r>
      <w:r>
        <w:rPr>
          <w:rFonts w:hint="eastAsia"/>
          <w:color w:val="auto"/>
        </w:rPr>
        <w:tab/>
      </w:r>
      <w:r>
        <w:rPr>
          <w:rFonts w:hint="eastAsia"/>
          <w:color w:val="auto"/>
        </w:rPr>
        <w:t>0</w:t>
      </w:r>
    </w:p>
    <w:p>
      <w:pPr>
        <w:jc w:val="left"/>
        <w:rPr>
          <w:rFonts w:hint="eastAsia"/>
          <w:color w:val="auto"/>
        </w:rPr>
      </w:pPr>
      <w:r>
        <w:rPr>
          <w:rFonts w:hint="eastAsia"/>
          <w:color w:val="auto"/>
        </w:rPr>
        <w:t>17:00</w:t>
      </w:r>
      <w:r>
        <w:rPr>
          <w:rFonts w:hint="eastAsia"/>
          <w:color w:val="auto"/>
        </w:rPr>
        <w:tab/>
      </w:r>
      <w:r>
        <w:rPr>
          <w:rFonts w:hint="eastAsia"/>
          <w:color w:val="auto"/>
        </w:rPr>
        <w:t>欧元区4月经济景气指数</w:t>
      </w:r>
      <w:r>
        <w:rPr>
          <w:rFonts w:hint="eastAsia"/>
          <w:color w:val="auto"/>
        </w:rPr>
        <w:tab/>
      </w:r>
      <w:r>
        <w:rPr>
          <w:rFonts w:hint="eastAsia"/>
          <w:color w:val="auto"/>
        </w:rPr>
        <w:t>108.5</w:t>
      </w:r>
      <w:r>
        <w:rPr>
          <w:rFonts w:hint="eastAsia"/>
          <w:color w:val="auto"/>
        </w:rPr>
        <w:tab/>
      </w:r>
      <w:r>
        <w:rPr>
          <w:rFonts w:hint="eastAsia"/>
          <w:color w:val="auto"/>
        </w:rPr>
        <w:t>108</w:t>
      </w:r>
      <w:r>
        <w:rPr>
          <w:rFonts w:hint="eastAsia"/>
          <w:color w:val="auto"/>
        </w:rPr>
        <w:tab/>
      </w:r>
      <w:r>
        <w:rPr>
          <w:rFonts w:hint="eastAsia"/>
          <w:color w:val="auto"/>
        </w:rPr>
        <w:tab/>
      </w:r>
    </w:p>
    <w:p>
      <w:pPr>
        <w:jc w:val="left"/>
        <w:rPr>
          <w:rFonts w:hint="eastAsia"/>
          <w:color w:val="auto"/>
        </w:rPr>
      </w:pPr>
      <w:r>
        <w:rPr>
          <w:rFonts w:hint="eastAsia"/>
          <w:color w:val="auto"/>
        </w:rPr>
        <w:t>欧元区4月服务业景气指数</w:t>
      </w:r>
      <w:r>
        <w:rPr>
          <w:rFonts w:hint="eastAsia"/>
          <w:color w:val="auto"/>
        </w:rPr>
        <w:tab/>
      </w:r>
      <w:r>
        <w:rPr>
          <w:rFonts w:hint="eastAsia"/>
          <w:color w:val="auto"/>
        </w:rPr>
        <w:t>14.4</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欧元区4月工业景气指数</w:t>
      </w:r>
      <w:r>
        <w:rPr>
          <w:rFonts w:hint="eastAsia"/>
          <w:color w:val="auto"/>
        </w:rPr>
        <w:tab/>
      </w:r>
      <w:r>
        <w:rPr>
          <w:rFonts w:hint="eastAsia"/>
          <w:color w:val="auto"/>
        </w:rPr>
        <w:t>10.4</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17:00</w:t>
      </w:r>
      <w:r>
        <w:rPr>
          <w:rFonts w:hint="eastAsia"/>
          <w:color w:val="auto"/>
        </w:rPr>
        <w:tab/>
      </w:r>
      <w:r>
        <w:rPr>
          <w:rFonts w:hint="eastAsia"/>
          <w:color w:val="auto"/>
        </w:rPr>
        <w:t>欧元区4月消费者信心指数终值</w:t>
      </w:r>
      <w:r>
        <w:rPr>
          <w:rFonts w:hint="eastAsia"/>
          <w:color w:val="auto"/>
        </w:rPr>
        <w:tab/>
      </w:r>
      <w:r>
        <w:rPr>
          <w:rFonts w:hint="eastAsia"/>
          <w:color w:val="auto"/>
        </w:rPr>
        <w:t>-16.9</w:t>
      </w:r>
    </w:p>
    <w:p>
      <w:pPr>
        <w:jc w:val="left"/>
        <w:rPr>
          <w:rFonts w:hint="eastAsia"/>
          <w:color w:val="auto"/>
        </w:rPr>
      </w:pPr>
      <w:r>
        <w:rPr>
          <w:rFonts w:hint="eastAsia"/>
          <w:color w:val="auto"/>
        </w:rPr>
        <w:t>20:30</w:t>
      </w:r>
      <w:r>
        <w:rPr>
          <w:rFonts w:hint="eastAsia"/>
          <w:color w:val="auto"/>
        </w:rPr>
        <w:tab/>
      </w:r>
      <w:r>
        <w:rPr>
          <w:rFonts w:hint="eastAsia"/>
          <w:color w:val="auto"/>
        </w:rPr>
        <w:t>美国第一季度实际GDP年化季率初值(%)</w:t>
      </w:r>
      <w:r>
        <w:rPr>
          <w:rFonts w:hint="eastAsia"/>
          <w:color w:val="auto"/>
        </w:rPr>
        <w:tab/>
      </w:r>
      <w:r>
        <w:rPr>
          <w:rFonts w:hint="eastAsia"/>
          <w:color w:val="auto"/>
        </w:rPr>
        <w:t>6.9</w:t>
      </w:r>
      <w:r>
        <w:rPr>
          <w:rFonts w:hint="eastAsia"/>
          <w:color w:val="auto"/>
        </w:rPr>
        <w:tab/>
      </w:r>
      <w:r>
        <w:rPr>
          <w:rFonts w:hint="eastAsia"/>
          <w:color w:val="auto"/>
        </w:rPr>
        <w:t>1</w:t>
      </w:r>
    </w:p>
    <w:p>
      <w:pPr>
        <w:jc w:val="left"/>
        <w:rPr>
          <w:rFonts w:hint="eastAsia"/>
          <w:color w:val="auto"/>
        </w:rPr>
      </w:pPr>
      <w:r>
        <w:rPr>
          <w:rFonts w:hint="eastAsia"/>
          <w:color w:val="auto"/>
        </w:rPr>
        <w:t>美国第一季度消费者支出年化季率初值(%)</w:t>
      </w:r>
      <w:r>
        <w:rPr>
          <w:rFonts w:hint="eastAsia"/>
          <w:color w:val="auto"/>
        </w:rPr>
        <w:tab/>
      </w:r>
      <w:r>
        <w:rPr>
          <w:rFonts w:hint="eastAsia"/>
          <w:color w:val="auto"/>
        </w:rPr>
        <w:t>2.5</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美国第一季度GDP价格指数季率初值(%)</w:t>
      </w:r>
      <w:r>
        <w:rPr>
          <w:rFonts w:hint="eastAsia"/>
          <w:color w:val="auto"/>
        </w:rPr>
        <w:tab/>
      </w:r>
      <w:r>
        <w:rPr>
          <w:rFonts w:hint="eastAsia"/>
          <w:color w:val="auto"/>
        </w:rPr>
        <w:t>7.1</w:t>
      </w:r>
      <w:r>
        <w:rPr>
          <w:rFonts w:hint="eastAsia"/>
          <w:color w:val="auto"/>
        </w:rPr>
        <w:tab/>
      </w:r>
      <w:r>
        <w:rPr>
          <w:rFonts w:hint="eastAsia"/>
          <w:color w:val="auto"/>
        </w:rPr>
        <w:t>7.3</w:t>
      </w:r>
      <w:r>
        <w:rPr>
          <w:rFonts w:hint="eastAsia"/>
          <w:color w:val="auto"/>
        </w:rPr>
        <w:tab/>
      </w:r>
      <w:r>
        <w:rPr>
          <w:rFonts w:hint="eastAsia"/>
          <w:color w:val="auto"/>
        </w:rPr>
        <w:tab/>
      </w:r>
    </w:p>
    <w:p>
      <w:pPr>
        <w:jc w:val="left"/>
        <w:rPr>
          <w:rFonts w:hint="eastAsia"/>
          <w:color w:val="auto"/>
        </w:rPr>
      </w:pPr>
      <w:r>
        <w:rPr>
          <w:rFonts w:hint="eastAsia"/>
          <w:color w:val="auto"/>
        </w:rPr>
        <w:t>20:30</w:t>
      </w:r>
      <w:r>
        <w:rPr>
          <w:rFonts w:hint="eastAsia"/>
          <w:color w:val="auto"/>
        </w:rPr>
        <w:tab/>
      </w:r>
      <w:r>
        <w:rPr>
          <w:rFonts w:hint="eastAsia"/>
          <w:color w:val="auto"/>
        </w:rPr>
        <w:t>美国截至4月23日当周初请失业金人数(万)</w:t>
      </w:r>
      <w:r>
        <w:rPr>
          <w:rFonts w:hint="eastAsia"/>
          <w:color w:val="auto"/>
        </w:rPr>
        <w:tab/>
      </w:r>
      <w:r>
        <w:rPr>
          <w:rFonts w:hint="eastAsia"/>
          <w:color w:val="auto"/>
        </w:rPr>
        <w:t>18.4</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美国截至4月23日当周初请失业金人数四周均值(万)</w:t>
      </w:r>
      <w:r>
        <w:rPr>
          <w:rFonts w:hint="eastAsia"/>
          <w:color w:val="auto"/>
        </w:rPr>
        <w:tab/>
      </w:r>
      <w:r>
        <w:rPr>
          <w:rFonts w:hint="eastAsia"/>
          <w:color w:val="auto"/>
        </w:rPr>
        <w:t>17.73</w:t>
      </w:r>
      <w:r>
        <w:rPr>
          <w:rFonts w:hint="eastAsia"/>
          <w:color w:val="auto"/>
        </w:rPr>
        <w:tab/>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美国截至4月23日当周续请失业金人数(万)</w:t>
      </w:r>
      <w:r>
        <w:rPr>
          <w:rFonts w:hint="eastAsia"/>
          <w:color w:val="auto"/>
        </w:rPr>
        <w:tab/>
      </w:r>
      <w:r>
        <w:rPr>
          <w:rFonts w:hint="eastAsia"/>
          <w:color w:val="auto"/>
        </w:rPr>
        <w:t>141.7</w:t>
      </w:r>
      <w:r>
        <w:rPr>
          <w:rFonts w:hint="eastAsia"/>
          <w:color w:val="auto"/>
        </w:rPr>
        <w:tab/>
      </w:r>
      <w:r>
        <w:rPr>
          <w:rFonts w:hint="eastAsia"/>
          <w:color w:val="auto"/>
        </w:rPr>
        <w:tab/>
      </w:r>
      <w:r>
        <w:rPr>
          <w:rFonts w:hint="eastAsia"/>
          <w:color w:val="auto"/>
        </w:rPr>
        <w:tab/>
      </w:r>
    </w:p>
    <w:p>
      <w:pPr>
        <w:jc w:val="left"/>
        <w:rPr>
          <w:rFonts w:hint="eastAsia"/>
          <w:color w:val="auto"/>
        </w:rPr>
      </w:pPr>
      <w:r>
        <w:rPr>
          <w:rFonts w:hint="eastAsia"/>
          <w:color w:val="auto"/>
        </w:rPr>
        <w:t>20:30</w:t>
      </w:r>
      <w:r>
        <w:rPr>
          <w:rFonts w:hint="eastAsia"/>
          <w:color w:val="auto"/>
        </w:rPr>
        <w:tab/>
      </w:r>
      <w:r>
        <w:rPr>
          <w:rFonts w:hint="eastAsia"/>
          <w:color w:val="auto"/>
        </w:rPr>
        <w:t>美国第一季度核心PCE物价指数年化季率初值(%)</w:t>
      </w:r>
      <w:r>
        <w:rPr>
          <w:rFonts w:hint="eastAsia"/>
          <w:color w:val="auto"/>
        </w:rPr>
        <w:tab/>
      </w:r>
      <w:r>
        <w:rPr>
          <w:rFonts w:hint="eastAsia"/>
          <w:color w:val="auto"/>
        </w:rPr>
        <w:t>5</w:t>
      </w:r>
      <w:r>
        <w:rPr>
          <w:rFonts w:hint="eastAsia"/>
          <w:color w:val="auto"/>
        </w:rPr>
        <w:tab/>
      </w:r>
      <w:r>
        <w:rPr>
          <w:rFonts w:hint="eastAsia"/>
          <w:color w:val="auto"/>
        </w:rPr>
        <w:t>5.6</w:t>
      </w:r>
    </w:p>
    <w:p>
      <w:pPr>
        <w:jc w:val="left"/>
        <w:rPr>
          <w:rFonts w:hint="eastAsia"/>
          <w:color w:val="auto"/>
        </w:rPr>
      </w:pPr>
    </w:p>
    <w:p>
      <w:pPr>
        <w:jc w:val="left"/>
        <w:rPr>
          <w:rFonts w:hint="eastAsia"/>
          <w:color w:val="auto"/>
        </w:rPr>
      </w:pPr>
    </w:p>
    <w:p>
      <w:pPr>
        <w:jc w:val="left"/>
        <w:rPr>
          <w:rFonts w:hint="eastAsia"/>
          <w:color w:val="auto"/>
        </w:rPr>
      </w:pPr>
      <w:r>
        <w:rPr>
          <w:rFonts w:hint="eastAsia"/>
          <w:color w:val="auto"/>
        </w:rPr>
        <w:t>【证券指数思路】</w:t>
      </w:r>
    </w:p>
    <w:p>
      <w:pPr>
        <w:jc w:val="left"/>
        <w:rPr>
          <w:rFonts w:hint="eastAsia"/>
          <w:color w:val="auto"/>
        </w:rPr>
      </w:pPr>
      <w:r>
        <w:rPr>
          <w:rFonts w:hint="eastAsia"/>
          <w:color w:val="auto"/>
        </w:rPr>
        <w:t xml:space="preserve">       三大指数低开翻红，截至收盘，沪指涨2.49%，报2958.28点，深成指涨4.37%，报10652.9点，创业板指涨5.52%，报2269.17点。沪深两市合计成交额9177.1亿元；北向资金实际净买入43.95亿元。</w:t>
      </w:r>
    </w:p>
    <w:p>
      <w:pPr>
        <w:jc w:val="left"/>
        <w:rPr>
          <w:rFonts w:hint="eastAsia"/>
          <w:color w:val="auto"/>
          <w:lang w:eastAsia="zh-CN"/>
        </w:rPr>
      </w:pPr>
      <w:r>
        <w:rPr>
          <w:rFonts w:hint="eastAsia"/>
          <w:color w:val="auto"/>
        </w:rPr>
        <w:t xml:space="preserve">     见底还需要进一步观察，观察成交量的放大配合指数反弹，观察权重板块的表现，短线快速下跌之后超跌反弹可以预期，但就此展开大规模上行趋势还需有真正的利好刺激加上资金的回流，目前看这还需要时间。底部阶段还需多看少动</w:t>
      </w:r>
      <w:r>
        <w:rPr>
          <w:rFonts w:hint="eastAsia"/>
          <w:color w:val="auto"/>
          <w:lang w:eastAsia="zh-CN"/>
        </w:rPr>
        <w:t>。</w:t>
      </w:r>
    </w:p>
    <w:p>
      <w:pPr>
        <w:jc w:val="left"/>
        <w:rPr>
          <w:rFonts w:hint="eastAsia"/>
          <w:color w:val="auto"/>
          <w:lang w:val="en-US" w:eastAsia="zh-CN"/>
        </w:rPr>
      </w:pPr>
    </w:p>
    <w:p>
      <w:pPr>
        <w:jc w:val="left"/>
        <w:rPr>
          <w:rFonts w:hint="eastAsia"/>
          <w:color w:val="auto"/>
          <w:lang w:val="en-US" w:eastAsia="zh-CN"/>
        </w:rPr>
      </w:pPr>
    </w:p>
    <w:p>
      <w:pPr>
        <w:jc w:val="left"/>
        <w:rPr>
          <w:rFonts w:hint="eastAsia"/>
          <w:color w:val="auto"/>
          <w:lang w:val="en-US" w:eastAsia="zh-CN"/>
        </w:rPr>
      </w:pPr>
    </w:p>
    <w:p>
      <w:pPr>
        <w:jc w:val="center"/>
        <w:rPr>
          <w:rFonts w:ascii="宋体" w:hAnsi="宋体" w:cs="宋体"/>
          <w:color w:val="auto"/>
          <w:kern w:val="0"/>
          <w:szCs w:val="21"/>
          <w:lang w:eastAsia="zh-CN"/>
        </w:rPr>
      </w:pPr>
      <w:r>
        <w:rPr>
          <w:rFonts w:hint="eastAsia" w:ascii="宋体" w:hAnsi="宋体" w:cs="宋体"/>
          <w:color w:val="auto"/>
          <w:kern w:val="0"/>
          <w:szCs w:val="21"/>
          <w:lang w:eastAsia="zh-CN"/>
        </w:rPr>
        <w:t>【分品种动态】</w:t>
      </w:r>
    </w:p>
    <w:p>
      <w:pPr>
        <w:jc w:val="both"/>
        <w:rPr>
          <w:rFonts w:ascii="黑体" w:eastAsia="黑体" w:cs="宋体"/>
          <w:color w:val="auto"/>
          <w:szCs w:val="21"/>
        </w:rPr>
      </w:pPr>
    </w:p>
    <w:p>
      <w:pPr>
        <w:rPr>
          <w:rFonts w:ascii="黑体" w:eastAsia="黑体" w:cs="宋体"/>
          <w:color w:val="auto"/>
          <w:szCs w:val="21"/>
        </w:rPr>
      </w:pPr>
    </w:p>
    <w:p>
      <w:pPr>
        <w:widowControl/>
        <w:jc w:val="left"/>
        <w:rPr>
          <w:color w:val="auto"/>
          <w:szCs w:val="21"/>
        </w:rPr>
      </w:pPr>
      <w:r>
        <w:rPr>
          <w:rFonts w:hint="eastAsia" w:ascii="黑体" w:eastAsia="黑体" w:cs="黑体"/>
          <w:color w:val="auto"/>
          <w:szCs w:val="21"/>
        </w:rPr>
        <w:t>◆农产品</w:t>
      </w:r>
    </w:p>
    <w:tbl>
      <w:tblPr>
        <w:tblStyle w:val="4"/>
        <w:tblW w:w="9004" w:type="dxa"/>
        <w:tblInd w:w="-15" w:type="dxa"/>
        <w:tblLayout w:type="fixed"/>
        <w:tblCellMar>
          <w:top w:w="0" w:type="dxa"/>
          <w:left w:w="108" w:type="dxa"/>
          <w:bottom w:w="0" w:type="dxa"/>
          <w:right w:w="108" w:type="dxa"/>
        </w:tblCellMar>
      </w:tblPr>
      <w:tblGrid>
        <w:gridCol w:w="549"/>
        <w:gridCol w:w="6405"/>
        <w:gridCol w:w="2050"/>
      </w:tblGrid>
      <w:tr>
        <w:tblPrEx>
          <w:tblCellMar>
            <w:top w:w="0" w:type="dxa"/>
            <w:left w:w="108" w:type="dxa"/>
            <w:bottom w:w="0" w:type="dxa"/>
            <w:right w:w="108" w:type="dxa"/>
          </w:tblCellMar>
        </w:tblPrEx>
        <w:trPr>
          <w:trHeight w:val="507"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olor w:val="auto"/>
                <w:szCs w:val="21"/>
              </w:rPr>
            </w:pPr>
          </w:p>
        </w:tc>
        <w:tc>
          <w:tcPr>
            <w:tcW w:w="6405" w:type="dxa"/>
            <w:tcBorders>
              <w:top w:val="single" w:color="000000" w:sz="4" w:space="0"/>
              <w:left w:val="single" w:color="000000" w:sz="4" w:space="0"/>
              <w:bottom w:val="single" w:color="000000" w:sz="4" w:space="0"/>
              <w:right w:val="nil"/>
            </w:tcBorders>
            <w:vAlign w:val="center"/>
          </w:tcPr>
          <w:p>
            <w:pPr>
              <w:widowControl/>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tcPr>
          <w:p>
            <w:pPr>
              <w:widowControl/>
              <w:snapToGrid w:val="0"/>
              <w:jc w:val="left"/>
              <w:rPr>
                <w:rFonts w:ascii="宋体" w:hAnsi="宋体" w:cs="宋体"/>
                <w:b/>
                <w:color w:val="auto"/>
                <w:kern w:val="0"/>
                <w:szCs w:val="21"/>
                <w:lang w:eastAsia="zh-CN"/>
              </w:rPr>
            </w:pPr>
            <w:r>
              <w:rPr>
                <w:rFonts w:hint="eastAsia" w:ascii="宋体" w:hAnsi="宋体" w:cs="宋体"/>
                <w:b/>
                <w:color w:val="auto"/>
                <w:kern w:val="0"/>
                <w:szCs w:val="21"/>
                <w:lang w:eastAsia="zh-CN"/>
              </w:rPr>
              <w:t>豆粕</w:t>
            </w:r>
          </w:p>
        </w:tc>
        <w:tc>
          <w:tcPr>
            <w:tcW w:w="6405" w:type="dxa"/>
            <w:tcBorders>
              <w:top w:val="single" w:color="000000" w:sz="4" w:space="0"/>
              <w:left w:val="single" w:color="000000" w:sz="4" w:space="0"/>
              <w:bottom w:val="single" w:color="000000" w:sz="4" w:space="0"/>
              <w:right w:val="nil"/>
            </w:tcBorders>
          </w:tcPr>
          <w:p>
            <w:pPr>
              <w:ind w:firstLine="840" w:firstLineChars="400"/>
              <w:rPr>
                <w:rFonts w:hint="default" w:eastAsia="宋体"/>
                <w:color w:val="auto"/>
                <w:lang w:val="en-US" w:eastAsia="zh-CN"/>
              </w:rPr>
            </w:pPr>
            <w:r>
              <w:rPr>
                <w:rFonts w:hint="eastAsia"/>
                <w:color w:val="auto"/>
              </w:rPr>
              <w:t>隔夜外围美元收涨于102.98部位；人民币离岸价稳定在6.587。欧美股市涨跌互现。美股在之前大跌后略企稳。市场预期美联储在对待通胀政策上将更加鹰派，而欧洲经济因俄乌冲突受损，中国疫情也压制风险偏好。美原油持稳，盘中走势震荡。美元上涨、欧洲最大经济体德国正在加速推进降低对俄罗斯石油依赖的计划均压制油价。芝加哥(CBOT)大豆上涨，交易商称，跟随豆油创出纪录新高的升势。7月大豆收高21美分，结算价报每蒲式耳16.92-3/4美元，收于10日移动均线上方，此前在此关键技术位上方难以守住支撑。7月豆油收高2.28美分，报每磅84.72美分，隔夜触及85.77美分，为交投最活跃合约的最高水平。7月豆粕上涨4.00美元，报每短吨441.00美元。交易商称，美国豆油周三飙升至纪录高位，此前印尼扩大食用油出口禁令涵盖范围，以应对食品通胀。StoneX首席大宗商品经济学家Arlan Suderman在一份客户报告中写道：“此举显著收紧本已紧张的全球食用油供应，此前俄乌冲突导致乌克兰葵花籽油供应中断，全球价格飙升。”印尼首席经济部长表示，该国正在扩大出口禁令的范围，将毛棕榈油和精炼棕榈油等产品包括在内。此前，这一禁令只适用于精制、漂白和除臭（RBD）的棕榈液油。</w:t>
            </w:r>
          </w:p>
        </w:tc>
        <w:tc>
          <w:tcPr>
            <w:tcW w:w="2050" w:type="dxa"/>
            <w:tcBorders>
              <w:top w:val="single" w:color="000000" w:sz="4" w:space="0"/>
              <w:left w:val="single" w:color="000000" w:sz="4" w:space="0"/>
              <w:bottom w:val="single" w:color="000000" w:sz="4" w:space="0"/>
              <w:right w:val="single" w:color="000000" w:sz="4" w:space="0"/>
            </w:tcBorders>
          </w:tcPr>
          <w:p>
            <w:pPr>
              <w:widowControl/>
              <w:suppressAutoHyphens w:val="0"/>
              <w:jc w:val="left"/>
              <w:rPr>
                <w:rFonts w:hint="eastAsia"/>
                <w:b/>
                <w:color w:val="auto"/>
                <w:lang w:eastAsia="zh-CN"/>
              </w:rPr>
            </w:pPr>
            <w:r>
              <w:rPr>
                <w:rFonts w:hint="eastAsia"/>
                <w:b/>
                <w:color w:val="auto"/>
                <w:lang w:eastAsia="zh-CN"/>
              </w:rPr>
              <w:t>框架如前，美豆延续受油粕比支撑保持高位区间波动。大连盘被动跟随。9月油粕比涨至2.85；粕5－9逆差略缩至103点。粕9日内续看围绕4000的波动，宜灵活。</w:t>
            </w:r>
          </w:p>
          <w:p>
            <w:pPr>
              <w:widowControl/>
              <w:suppressAutoHyphens w:val="0"/>
              <w:jc w:val="left"/>
              <w:rPr>
                <w:rFonts w:hint="eastAsia"/>
                <w:b/>
                <w:color w:val="auto"/>
                <w:lang w:eastAsia="zh-CN"/>
              </w:rPr>
            </w:pPr>
          </w:p>
          <w:p>
            <w:pPr>
              <w:widowControl/>
              <w:suppressAutoHyphens w:val="0"/>
              <w:jc w:val="left"/>
              <w:rPr>
                <w:b/>
                <w:color w:val="auto"/>
                <w:lang w:eastAsia="zh-CN"/>
              </w:rPr>
            </w:pPr>
            <w:r>
              <w:rPr>
                <w:rFonts w:hint="eastAsia"/>
                <w:b/>
                <w:color w:val="auto"/>
                <w:lang w:eastAsia="zh-CN"/>
              </w:rPr>
              <w:t>（农产</w:t>
            </w:r>
            <w:r>
              <w:rPr>
                <w:rFonts w:hint="eastAsia"/>
                <w:b/>
                <w:color w:val="auto"/>
                <w:lang w:eastAsia="zh-CN"/>
              </w:rPr>
              <w:t>品部）</w:t>
            </w:r>
          </w:p>
        </w:tc>
      </w:tr>
      <w:tr>
        <w:tblPrEx>
          <w:tblCellMar>
            <w:top w:w="0" w:type="dxa"/>
            <w:left w:w="108" w:type="dxa"/>
            <w:bottom w:w="0" w:type="dxa"/>
            <w:right w:w="108" w:type="dxa"/>
          </w:tblCellMar>
        </w:tblPrEx>
        <w:trPr>
          <w:trHeight w:val="669" w:hRule="atLeast"/>
        </w:trPr>
        <w:tc>
          <w:tcPr>
            <w:tcW w:w="549"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棉花</w:t>
            </w:r>
          </w:p>
        </w:tc>
        <w:tc>
          <w:tcPr>
            <w:tcW w:w="6405"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美棉涨停价收盘，7月合约价格在140美分。夜盘郑棉跟涨，9月合约最新价格21520元。4月27日，棉花现货指数CCI3128B报价至22446元/吨（-51），期现价差-1316（09合约收盘价-现货价），涤纶短纤报价7950元/吨(+0)，黏胶短纤报价14100元/吨（+0）；CY Index C32S报价28695元/吨（-25），FCY Index C32S(进口棉纱价格指数)报价32851元/吨（+258）；郑棉仓单16909张（-117），有效预报1065（-16）。美国EMOT M到港价152.25分/磅（-1.8）；印度S-6 1-1/8到港价164美分/磅（+0）；巴西M到港价153.3美分/磅（-2.5）综上，在美棉供需偏紧格局不变的背景之下，虽然目前美棉播植进度暂时正常，但受旱情影响或面临种的多收的少的局面，市场对新年度供应的担忧持续对棉价运行形成支撑。美棉周度出口数据发布在即，近几周有部分国家大量取消前期签约，市场普遍关注新周签约数据变化情况。</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操作上，日内偏强对待，短多参与注意及时兑利；中长线空单逢反弹加仓，止损参考22000元。</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bl>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pPr>
    </w:p>
    <w:p>
      <w:pPr>
        <w:widowControl/>
        <w:jc w:val="left"/>
        <w:rPr>
          <w:rFonts w:ascii="黑体" w:eastAsia="黑体" w:cs="宋体"/>
          <w:color w:val="auto"/>
          <w:szCs w:val="21"/>
        </w:rPr>
        <w:sectPr>
          <w:headerReference r:id="rId3" w:type="default"/>
          <w:footerReference r:id="rId4" w:type="default"/>
          <w:pgSz w:w="11906" w:h="16838"/>
          <w:pgMar w:top="907" w:right="1797" w:bottom="1134" w:left="1797" w:header="510" w:footer="992" w:gutter="0"/>
          <w:cols w:space="720" w:num="1"/>
          <w:docGrid w:type="lines" w:linePitch="312" w:charSpace="0"/>
        </w:sectPr>
      </w:pPr>
      <w:r>
        <w:rPr>
          <w:rFonts w:hint="eastAsia" w:ascii="黑体" w:eastAsia="黑体" w:cs="宋体"/>
          <w:color w:val="auto"/>
          <w:szCs w:val="21"/>
        </w:rPr>
        <w:t>◆工业品</w:t>
      </w:r>
    </w:p>
    <w:p>
      <w:pPr>
        <w:rPr>
          <w:color w:val="auto"/>
          <w:szCs w:val="21"/>
        </w:rPr>
        <w:sectPr>
          <w:type w:val="continuous"/>
          <w:pgSz w:w="11906" w:h="16838"/>
          <w:pgMar w:top="1440" w:right="1797" w:bottom="1134" w:left="1797" w:header="851" w:footer="992" w:gutter="0"/>
          <w:cols w:space="720" w:num="1"/>
          <w:docGrid w:type="lines" w:linePitch="312" w:charSpace="0"/>
        </w:sectPr>
      </w:pPr>
    </w:p>
    <w:tbl>
      <w:tblPr>
        <w:tblStyle w:val="4"/>
        <w:tblW w:w="8994" w:type="dxa"/>
        <w:tblInd w:w="0" w:type="dxa"/>
        <w:tblLayout w:type="fixed"/>
        <w:tblCellMar>
          <w:top w:w="0" w:type="dxa"/>
          <w:left w:w="108" w:type="dxa"/>
          <w:bottom w:w="0" w:type="dxa"/>
          <w:right w:w="108" w:type="dxa"/>
        </w:tblCellMar>
      </w:tblPr>
      <w:tblGrid>
        <w:gridCol w:w="534"/>
        <w:gridCol w:w="6410"/>
        <w:gridCol w:w="2050"/>
      </w:tblGrid>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tcPr>
          <w:p>
            <w:pPr>
              <w:widowControl/>
              <w:snapToGrid w:val="0"/>
              <w:jc w:val="left"/>
              <w:rPr>
                <w:rFonts w:ascii="宋体" w:hAnsi="宋体" w:cs="黑体"/>
                <w:color w:val="auto"/>
                <w:szCs w:val="21"/>
              </w:rPr>
            </w:pPr>
          </w:p>
        </w:tc>
        <w:tc>
          <w:tcPr>
            <w:tcW w:w="6410" w:type="dxa"/>
            <w:tcBorders>
              <w:top w:val="single" w:color="000000" w:sz="4" w:space="0"/>
              <w:left w:val="single" w:color="000000" w:sz="4" w:space="0"/>
              <w:bottom w:val="single" w:color="000000" w:sz="4" w:space="0"/>
              <w:right w:val="nil"/>
            </w:tcBorders>
            <w:vAlign w:val="center"/>
          </w:tcPr>
          <w:p>
            <w:pPr>
              <w:rPr>
                <w:rFonts w:ascii="宋体" w:hAnsi="宋体" w:cs="宋体"/>
                <w:b/>
                <w:color w:val="auto"/>
                <w:szCs w:val="21"/>
              </w:rPr>
            </w:pPr>
            <w:r>
              <w:rPr>
                <w:rFonts w:hint="eastAsia" w:ascii="宋体" w:hAnsi="宋体" w:cs="宋体"/>
                <w:b/>
                <w:color w:val="auto"/>
                <w:szCs w:val="21"/>
              </w:rPr>
              <w:t>内外盘综述</w:t>
            </w:r>
          </w:p>
        </w:tc>
        <w:tc>
          <w:tcPr>
            <w:tcW w:w="2050" w:type="dxa"/>
            <w:tcBorders>
              <w:top w:val="single" w:color="000000" w:sz="4" w:space="0"/>
              <w:left w:val="single" w:color="000000" w:sz="4" w:space="0"/>
              <w:bottom w:val="single" w:color="000000" w:sz="4" w:space="0"/>
              <w:right w:val="single" w:color="000000" w:sz="4" w:space="0"/>
            </w:tcBorders>
            <w:vAlign w:val="center"/>
          </w:tcPr>
          <w:p>
            <w:pPr>
              <w:rPr>
                <w:rFonts w:ascii="宋体" w:hAnsi="宋体"/>
                <w:b/>
                <w:color w:val="auto"/>
                <w:szCs w:val="21"/>
              </w:rPr>
            </w:pPr>
            <w:r>
              <w:rPr>
                <w:rFonts w:hint="eastAsia" w:ascii="宋体" w:hAnsi="宋体" w:cs="宋体"/>
                <w:b/>
                <w:color w:val="auto"/>
                <w:szCs w:val="21"/>
              </w:rPr>
              <w:t>简评及操作策略</w:t>
            </w:r>
          </w:p>
        </w:tc>
      </w:tr>
      <w:tr>
        <w:tblPrEx>
          <w:tblCellMar>
            <w:top w:w="0" w:type="dxa"/>
            <w:left w:w="108" w:type="dxa"/>
            <w:bottom w:w="0" w:type="dxa"/>
            <w:right w:w="108" w:type="dxa"/>
          </w:tblCellMar>
        </w:tblPrEx>
        <w:trPr>
          <w:cantSplit/>
          <w:trHeight w:val="480" w:hRule="atLeast"/>
        </w:trPr>
        <w:tc>
          <w:tcPr>
            <w:tcW w:w="534" w:type="dxa"/>
            <w:tcBorders>
              <w:top w:val="single" w:color="000000" w:sz="4" w:space="0"/>
              <w:left w:val="single" w:color="000000" w:sz="4" w:space="0"/>
              <w:bottom w:val="single" w:color="000000" w:sz="4" w:space="0"/>
              <w:right w:val="nil"/>
            </w:tcBorders>
            <w:vAlign w:val="top"/>
          </w:tcPr>
          <w:p>
            <w:pPr>
              <w:widowControl/>
              <w:snapToGrid w:val="0"/>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PTA</w:t>
            </w:r>
          </w:p>
        </w:tc>
        <w:tc>
          <w:tcPr>
            <w:tcW w:w="6410" w:type="dxa"/>
            <w:tcBorders>
              <w:top w:val="single" w:color="000000" w:sz="4" w:space="0"/>
              <w:left w:val="single" w:color="000000" w:sz="4" w:space="0"/>
              <w:bottom w:val="single" w:color="000000" w:sz="4" w:space="0"/>
              <w:right w:val="nil"/>
            </w:tcBorders>
            <w:vAlign w:val="top"/>
          </w:tcPr>
          <w:p>
            <w:pPr>
              <w:ind w:firstLine="840" w:firstLineChars="400"/>
              <w:rPr>
                <w:rFonts w:hint="eastAsia" w:ascii="Times New Roman" w:hAnsi="Times New Roman" w:eastAsia="宋体" w:cs="Times New Roman"/>
                <w:color w:val="auto"/>
                <w:kern w:val="2"/>
                <w:sz w:val="21"/>
                <w:lang w:val="en-US" w:eastAsia="zh-CN" w:bidi="ar-SA"/>
              </w:rPr>
            </w:pPr>
            <w:r>
              <w:rPr>
                <w:rFonts w:hint="eastAsia"/>
                <w:color w:val="auto"/>
              </w:rPr>
              <w:t xml:space="preserve"> 国际油价小幅上涨； PX CFR中国价格收涨至1139.67美元/吨，PTA现货价格6207元，PTA加工区间收跌至451.65元/吨； PX CFR中国价格收涨至1139.67美元/吨，PTA加工区间收跌至451.65元/吨；下游聚酯负荷稳定在80.51%。综上，成本支撑良好，流通盘依然较少，下游需求止跌提振价格，</w:t>
            </w:r>
          </w:p>
        </w:tc>
        <w:tc>
          <w:tcPr>
            <w:tcW w:w="2050" w:type="dxa"/>
            <w:tcBorders>
              <w:top w:val="single" w:color="000000" w:sz="4" w:space="0"/>
              <w:left w:val="single" w:color="000000" w:sz="4" w:space="0"/>
              <w:bottom w:val="single" w:color="000000" w:sz="4" w:space="0"/>
              <w:right w:val="single" w:color="000000" w:sz="4" w:space="0"/>
            </w:tcBorders>
            <w:vAlign w:val="top"/>
          </w:tcPr>
          <w:p>
            <w:pPr>
              <w:widowControl/>
              <w:suppressAutoHyphens w:val="0"/>
              <w:jc w:val="left"/>
              <w:rPr>
                <w:rFonts w:hint="eastAsia"/>
                <w:b/>
                <w:color w:val="auto"/>
                <w:lang w:eastAsia="zh-CN"/>
              </w:rPr>
            </w:pPr>
            <w:r>
              <w:rPr>
                <w:rFonts w:hint="eastAsia"/>
                <w:b/>
                <w:color w:val="auto"/>
                <w:lang w:eastAsia="zh-CN"/>
              </w:rPr>
              <w:t>操作上，震荡反弹对待，低吸短多参与，忌追涨。</w:t>
            </w:r>
          </w:p>
          <w:p>
            <w:pPr>
              <w:widowControl/>
              <w:suppressAutoHyphens w:val="0"/>
              <w:jc w:val="left"/>
              <w:rPr>
                <w:rFonts w:hint="eastAsia"/>
                <w:b/>
                <w:color w:val="auto"/>
                <w:lang w:eastAsia="zh-CN"/>
              </w:rPr>
            </w:pPr>
          </w:p>
          <w:p>
            <w:pPr>
              <w:widowControl/>
              <w:suppressAutoHyphens w:val="0"/>
              <w:jc w:val="left"/>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苗玲</w:t>
            </w:r>
            <w:r>
              <w:rPr>
                <w:rFonts w:hint="eastAsia"/>
                <w:b/>
                <w:color w:val="auto"/>
                <w:lang w:eastAsia="zh-CN"/>
              </w:rPr>
              <w:t>）</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hint="default" w:ascii="宋体" w:hAnsi="宋体" w:cs="宋体"/>
                <w:b/>
                <w:color w:val="auto"/>
                <w:kern w:val="0"/>
                <w:szCs w:val="21"/>
                <w:lang w:val="en-US" w:eastAsia="zh-CN"/>
              </w:rPr>
            </w:pPr>
            <w:r>
              <w:rPr>
                <w:rFonts w:hint="eastAsia" w:ascii="宋体" w:hAnsi="宋体" w:cs="宋体"/>
                <w:b/>
                <w:color w:val="auto"/>
                <w:kern w:val="0"/>
                <w:szCs w:val="21"/>
                <w:lang w:val="en-US" w:eastAsia="zh-CN"/>
              </w:rPr>
              <w:t>钢材</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钢材周三价格窄幅震荡，螺纹2210合约收于4842，热卷2210合约收于4942。现货方面，27日唐山普方坯出厂价报4740（+40），上海地区螺纹钢现货价格(HRB400 20mm)4990元（+10），热卷现货价格(4.75mm)4970元（+20）。</w:t>
            </w:r>
          </w:p>
          <w:p>
            <w:pPr>
              <w:widowControl/>
              <w:suppressAutoHyphens w:val="0"/>
              <w:ind w:firstLine="630" w:firstLineChars="300"/>
              <w:jc w:val="left"/>
              <w:rPr>
                <w:rFonts w:hint="eastAsia"/>
                <w:color w:val="auto"/>
              </w:rPr>
            </w:pPr>
            <w:r>
              <w:rPr>
                <w:rFonts w:hint="eastAsia"/>
                <w:color w:val="auto"/>
              </w:rPr>
              <w:t>国务院总理李克强主持召开国务院常务会议，会议指出，稳就业是经济运行保持在合理区间的关键支撑，要落实党中央、国务院部署，采取更有力举措稳就业。要推进企业在做好疫情防控条件下复工达产。要保障交通骨干网络高效运行。督促收费站、服务区应开尽开，疏通机场、港口集疏运。要打通物流微循环。5月1日至年底，对符合条件的快递收派收入免征增值税。</w:t>
            </w:r>
          </w:p>
          <w:p>
            <w:pPr>
              <w:widowControl/>
              <w:suppressAutoHyphens w:val="0"/>
              <w:ind w:firstLine="630" w:firstLineChars="300"/>
              <w:jc w:val="left"/>
              <w:rPr>
                <w:rFonts w:hint="eastAsia"/>
                <w:color w:val="auto"/>
              </w:rPr>
            </w:pPr>
            <w:r>
              <w:rPr>
                <w:rFonts w:hint="eastAsia"/>
                <w:color w:val="auto"/>
              </w:rPr>
              <w:t>1—3月份，全国规模以上工业企业实现利润总额19555.7亿元，同比增长8.5%。</w:t>
            </w:r>
          </w:p>
          <w:p>
            <w:pPr>
              <w:widowControl/>
              <w:suppressAutoHyphens w:val="0"/>
              <w:ind w:firstLine="630" w:firstLineChars="300"/>
              <w:jc w:val="left"/>
              <w:rPr>
                <w:rFonts w:hint="eastAsia"/>
                <w:color w:val="auto"/>
              </w:rPr>
            </w:pPr>
            <w:r>
              <w:rPr>
                <w:rFonts w:hint="eastAsia"/>
                <w:color w:val="auto"/>
              </w:rPr>
              <w:t>据不完全统计，4月份以来截至4月26日，已有天津、无锡、兰州、淮安等23个城市，相继发布了松绑住房公积金的相关政策。</w:t>
            </w:r>
          </w:p>
          <w:p>
            <w:pPr>
              <w:widowControl/>
              <w:suppressAutoHyphens w:val="0"/>
              <w:ind w:firstLine="630" w:firstLineChars="300"/>
              <w:jc w:val="left"/>
              <w:rPr>
                <w:rFonts w:hint="eastAsia"/>
                <w:color w:val="auto"/>
              </w:rPr>
            </w:pPr>
            <w:r>
              <w:rPr>
                <w:rFonts w:hint="eastAsia"/>
                <w:color w:val="auto"/>
              </w:rPr>
              <w:t>据Mysteel数据，本周唐山地区主流样本钢厂平均铁水不含税成本为3761元/吨，平均钢坯含税成本4829元/吨，周环比上调15元/吨，与4月27日当前普方坯出厂价格4740元/吨相比，钢厂平均毛利润-89元/吨，周环比下调105元/吨。</w:t>
            </w:r>
          </w:p>
          <w:p>
            <w:pPr>
              <w:widowControl/>
              <w:suppressAutoHyphens w:val="0"/>
              <w:ind w:firstLine="630" w:firstLineChars="300"/>
              <w:jc w:val="left"/>
              <w:rPr>
                <w:rFonts w:hint="eastAsia" w:eastAsia="宋体"/>
                <w:color w:val="auto"/>
                <w:lang w:val="en-US" w:eastAsia="zh-CN"/>
              </w:rPr>
            </w:pPr>
            <w:r>
              <w:rPr>
                <w:rFonts w:hint="eastAsia"/>
                <w:color w:val="auto"/>
              </w:rPr>
              <w:t>本周钢材价格波动加剧，周初的回落一方面受到上游原材料价格大跌成本快速下行的影响，一方面当前国内疫情影响持续，宏观层面预期转弱，前期支撑钢材价格的两点因素阶段性转向，导致钢材转向下行，但在国家中央财经委员会议后市场有所反弹。</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整体来看，后续市场将逐步回归到钢材真实供需的逻辑上，考虑到房地产仍未止跌同时国内疫情的影响仍在，需求端阶段性的弱势可以预见，钢材整体短期预计偏弱回调，跟随操作。关注疫情受控后下游消费的真实承接水平。</w:t>
            </w:r>
          </w:p>
          <w:p>
            <w:pPr>
              <w:rPr>
                <w:rFonts w:hint="eastAsia"/>
                <w:b/>
                <w:color w:val="auto"/>
                <w:lang w:eastAsia="zh-CN"/>
              </w:rPr>
            </w:pPr>
          </w:p>
          <w:p>
            <w:pPr>
              <w:rPr>
                <w:b/>
                <w:color w:val="auto"/>
                <w:lang w:eastAsia="zh-CN"/>
              </w:rPr>
            </w:pPr>
            <w:r>
              <w:rPr>
                <w:rFonts w:hint="eastAsia"/>
                <w:b/>
                <w:color w:val="auto"/>
                <w:lang w:eastAsia="zh-CN"/>
              </w:rPr>
              <w:t>(黄</w:t>
            </w:r>
            <w:r>
              <w:rPr>
                <w:rFonts w:hint="eastAsia"/>
                <w:b/>
                <w:color w:val="auto"/>
                <w:lang w:eastAsia="zh-CN"/>
              </w:rPr>
              <w:t>天罡)</w:t>
            </w:r>
          </w:p>
        </w:tc>
      </w:tr>
      <w:tr>
        <w:tblPrEx>
          <w:tblCellMar>
            <w:top w:w="0" w:type="dxa"/>
            <w:left w:w="108" w:type="dxa"/>
            <w:bottom w:w="0" w:type="dxa"/>
            <w:right w:w="108" w:type="dxa"/>
          </w:tblCellMar>
        </w:tblPrEx>
        <w:trPr>
          <w:cantSplit/>
          <w:trHeight w:val="2181"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铁矿石</w:t>
            </w:r>
          </w:p>
        </w:tc>
        <w:tc>
          <w:tcPr>
            <w:tcW w:w="6410" w:type="dxa"/>
            <w:tcBorders>
              <w:top w:val="single" w:color="000000" w:sz="4" w:space="0"/>
              <w:left w:val="single" w:color="000000" w:sz="4" w:space="0"/>
              <w:bottom w:val="single" w:color="000000" w:sz="4" w:space="0"/>
              <w:right w:val="nil"/>
            </w:tcBorders>
          </w:tcPr>
          <w:p>
            <w:pPr>
              <w:widowControl/>
              <w:suppressAutoHyphens w:val="0"/>
              <w:jc w:val="left"/>
              <w:rPr>
                <w:rFonts w:hint="eastAsia"/>
                <w:color w:val="auto"/>
                <w:lang w:val="en-US" w:eastAsia="zh-CN"/>
              </w:rPr>
            </w:pPr>
            <w:r>
              <w:rPr>
                <w:rFonts w:hint="eastAsia"/>
                <w:color w:val="auto"/>
              </w:rPr>
              <w:t xml:space="preserve">   </w:t>
            </w:r>
            <w:r>
              <w:rPr>
                <w:rFonts w:hint="eastAsia"/>
                <w:color w:val="auto"/>
                <w:lang w:val="en-US" w:eastAsia="zh-CN"/>
              </w:rPr>
              <w:t xml:space="preserve">  昨日进口铁矿港口现货全天价格上涨4-15。现青岛港PB粉940涨10，超特粉720涨12；曹妃甸港PB粉937涨10，超特粉720涨15；天津港PB粉958涨4，麦克粉943涨8；江内港PB粉1004涨4，混合粉862涨6；鲅鱼圈港PB粉991涨10；防城港港PB粉955涨10。</w:t>
            </w:r>
          </w:p>
          <w:p>
            <w:pPr>
              <w:widowControl/>
              <w:suppressAutoHyphens w:val="0"/>
              <w:jc w:val="left"/>
              <w:rPr>
                <w:rFonts w:hint="eastAsia"/>
                <w:color w:val="auto"/>
                <w:lang w:val="en-US" w:eastAsia="zh-CN"/>
              </w:rPr>
            </w:pPr>
            <w:r>
              <w:rPr>
                <w:rFonts w:hint="eastAsia"/>
                <w:color w:val="auto"/>
                <w:lang w:val="en-US" w:eastAsia="zh-CN"/>
              </w:rPr>
              <w:t xml:space="preserve">      国务院总理李克强主持召开国务院常务会议，会议指出，稳就业是经济运行保持在合理区间的关键支撑，要落实党中央、国务院部署，采取更有力举措稳就业。要推进企业在做好疫情防控条件下复工达产。要保障交通骨干网络高效运行。督促收费站、服务区应开尽开，疏通机场、港口集疏运。要打通物流微循环。5月1日至年底，对符合条件的快递收派收入免征增值税。</w:t>
            </w:r>
          </w:p>
          <w:p>
            <w:pPr>
              <w:widowControl/>
              <w:suppressAutoHyphens w:val="0"/>
              <w:jc w:val="left"/>
              <w:rPr>
                <w:rFonts w:hint="eastAsia"/>
                <w:color w:val="auto"/>
                <w:lang w:val="en-US" w:eastAsia="zh-CN"/>
              </w:rPr>
            </w:pPr>
            <w:r>
              <w:rPr>
                <w:rFonts w:hint="eastAsia"/>
                <w:color w:val="auto"/>
                <w:lang w:val="en-US" w:eastAsia="zh-CN"/>
              </w:rPr>
              <w:t xml:space="preserve">      北京时间2022年4月28日，澳大利亚矿业公司FMG发布2022年第一季度（2022澳大利亚财年Q3）运营报告，报告显示：产量方面：一季度FMG铁矿石产量（铁矿加工量Ore Processed）达4420万吨，环比减少10%，同比减少1%。发运量方面：一季度FMG铁矿石发运量达4650万吨，环比减少2%，同比增加10%。</w:t>
            </w:r>
          </w:p>
          <w:p>
            <w:pPr>
              <w:widowControl/>
              <w:suppressAutoHyphens w:val="0"/>
              <w:jc w:val="left"/>
              <w:rPr>
                <w:rFonts w:hint="eastAsia" w:eastAsia="宋体"/>
                <w:color w:val="auto"/>
                <w:lang w:val="en-US" w:eastAsia="zh-CN"/>
              </w:rPr>
            </w:pPr>
            <w:r>
              <w:rPr>
                <w:rFonts w:hint="eastAsia"/>
                <w:color w:val="auto"/>
                <w:lang w:val="en-US" w:eastAsia="zh-CN"/>
              </w:rPr>
              <w:t xml:space="preserve">      近期市场预期受到疫情和政策影响有所反复，现实面来看，旺季终端需求持续疲弱对市场的压制作用依然明显，5月份上海疫情逐步缓解后需求恢复不及预期的可能性依然较大，后期需要看到终端需求的现实改善和进一步政策的落地，才能形成进一步驱动力，在实际需求未改善前，矿石将震荡偏弱运行。</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波段沽空为主。</w:t>
            </w:r>
          </w:p>
          <w:p>
            <w:pPr>
              <w:rPr>
                <w:rFonts w:hint="eastAsia"/>
                <w:b/>
                <w:color w:val="auto"/>
                <w:lang w:eastAsia="zh-CN"/>
              </w:rPr>
            </w:pPr>
          </w:p>
          <w:p>
            <w:pPr>
              <w:rPr>
                <w:rFonts w:hint="eastAsia"/>
                <w:b/>
                <w:color w:val="auto"/>
                <w:lang w:eastAsia="zh-CN"/>
              </w:rPr>
            </w:pPr>
            <w:r>
              <w:rPr>
                <w:rFonts w:hint="eastAsia"/>
                <w:b/>
                <w:color w:val="auto"/>
                <w:lang w:eastAsia="zh-CN"/>
              </w:rPr>
              <w:t>(杨俊林)</w:t>
            </w:r>
          </w:p>
          <w:p>
            <w:pPr>
              <w:rPr>
                <w:rFonts w:hint="eastAsia"/>
                <w:b/>
                <w:color w:val="auto"/>
                <w:lang w:eastAsia="zh-CN"/>
              </w:rPr>
            </w:pPr>
          </w:p>
        </w:tc>
      </w:tr>
      <w:tr>
        <w:tblPrEx>
          <w:tblCellMar>
            <w:top w:w="0" w:type="dxa"/>
            <w:left w:w="108" w:type="dxa"/>
            <w:bottom w:w="0" w:type="dxa"/>
            <w:right w:w="108" w:type="dxa"/>
          </w:tblCellMar>
        </w:tblPrEx>
        <w:trPr>
          <w:cantSplit/>
          <w:trHeight w:val="4922"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煤焦</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rPr>
            </w:pPr>
            <w:r>
              <w:rPr>
                <w:rFonts w:hint="eastAsia"/>
                <w:color w:val="auto"/>
              </w:rPr>
              <w:t>现货市场，焦煤有流拍现象，价格稳中趋弱，焦炭暂稳运行。山西介休1.3硫主焦2900元/吨，蒙5金泉提货价3000元/吨；吕梁准一出厂价3750元/吨，唐山二级焦到厂价3850元/吨，青岛港准一焦平仓价4000元/吨。</w:t>
            </w:r>
          </w:p>
          <w:p>
            <w:pPr>
              <w:widowControl/>
              <w:suppressAutoHyphens w:val="0"/>
              <w:ind w:firstLine="630" w:firstLineChars="300"/>
              <w:jc w:val="left"/>
              <w:rPr>
                <w:rFonts w:hint="eastAsia"/>
                <w:color w:val="auto"/>
              </w:rPr>
            </w:pPr>
            <w:r>
              <w:rPr>
                <w:rFonts w:hint="eastAsia"/>
                <w:color w:val="auto"/>
              </w:rPr>
              <w:t>各地产销，山西煤矿多执行前期订单，挺价意愿较强，不过新订单较少，竞拍价较上期成交回调，流拍现象逐渐增多。焦企开工情况良好，下游钢厂因库存偏低，采购积极性仍旧较强。</w:t>
            </w:r>
          </w:p>
          <w:p>
            <w:pPr>
              <w:widowControl/>
              <w:suppressAutoHyphens w:val="0"/>
              <w:ind w:firstLine="630" w:firstLineChars="300"/>
              <w:jc w:val="left"/>
              <w:rPr>
                <w:rFonts w:hint="eastAsia"/>
                <w:color w:val="auto"/>
              </w:rPr>
            </w:pPr>
            <w:r>
              <w:rPr>
                <w:rFonts w:hint="eastAsia"/>
                <w:color w:val="auto"/>
              </w:rPr>
              <w:t>国务院总理李克强主持召开国务院常务会议，会议指出，稳就业是经济运行保持在合理区间的关键支撑，要落实党中央、国务院部署，采取更有力举措稳就业。要推进企业在做好疫情防控条件下复工达产。要保障交通骨干网络高效运行。督促收费站、服务区应开尽开，疏通机场、港口集疏运。要打通物流微循环。</w:t>
            </w:r>
          </w:p>
          <w:p>
            <w:pPr>
              <w:widowControl/>
              <w:suppressAutoHyphens w:val="0"/>
              <w:ind w:firstLine="630" w:firstLineChars="300"/>
              <w:jc w:val="left"/>
              <w:rPr>
                <w:rFonts w:hint="default" w:eastAsia="宋体"/>
                <w:color w:val="auto"/>
                <w:lang w:val="en-US" w:eastAsia="zh-CN"/>
              </w:rPr>
            </w:pPr>
            <w:r>
              <w:rPr>
                <w:rFonts w:hint="eastAsia"/>
                <w:color w:val="auto"/>
              </w:rPr>
              <w:t>整体来看，近期双焦供应有所回升，但终端需求持续偏低将限制生铁产量回升空间，供求紧张缓解，库存有回升可能，如五一之后终端需求仍旧低位运行，双焦现货有回调可能；同时近期市场担忧疫情环节后终端需求不及预期的风险，负反馈逻辑下，双焦承压回调。</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短期盘面仍旧承压运行，关注临近60天线支撑力度，以及今日公布的成材产量、库存情况。</w:t>
            </w:r>
          </w:p>
          <w:p>
            <w:pPr>
              <w:rPr>
                <w:rFonts w:hint="eastAsia"/>
                <w:b/>
                <w:color w:val="auto"/>
                <w:lang w:eastAsia="zh-CN"/>
              </w:rPr>
            </w:pPr>
          </w:p>
          <w:p>
            <w:pPr>
              <w:rPr>
                <w:b/>
                <w:color w:val="auto"/>
                <w:lang w:eastAsia="zh-CN"/>
              </w:rPr>
            </w:pPr>
            <w:r>
              <w:rPr>
                <w:rFonts w:hint="eastAsia"/>
                <w:b/>
                <w:color w:val="auto"/>
                <w:lang w:eastAsia="zh-CN"/>
              </w:rPr>
              <w:t>（</w:t>
            </w:r>
            <w:r>
              <w:rPr>
                <w:rFonts w:hint="eastAsia"/>
                <w:b/>
                <w:color w:val="auto"/>
                <w:lang w:eastAsia="zh-CN"/>
              </w:rPr>
              <w:t>李岩）</w:t>
            </w:r>
          </w:p>
        </w:tc>
      </w:tr>
      <w:tr>
        <w:tblPrEx>
          <w:tblCellMar>
            <w:top w:w="0" w:type="dxa"/>
            <w:left w:w="108" w:type="dxa"/>
            <w:bottom w:w="0" w:type="dxa"/>
            <w:right w:w="108" w:type="dxa"/>
          </w:tblCellMar>
        </w:tblPrEx>
        <w:trPr>
          <w:cantSplit/>
          <w:trHeight w:val="934" w:hRule="atLeast"/>
        </w:trPr>
        <w:tc>
          <w:tcPr>
            <w:tcW w:w="534" w:type="dxa"/>
            <w:tcBorders>
              <w:top w:val="single" w:color="000000" w:sz="4" w:space="0"/>
              <w:left w:val="single" w:color="000000" w:sz="4" w:space="0"/>
              <w:bottom w:val="single" w:color="000000" w:sz="4" w:space="0"/>
              <w:right w:val="nil"/>
            </w:tcBorders>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铝</w:t>
            </w:r>
          </w:p>
        </w:tc>
        <w:tc>
          <w:tcPr>
            <w:tcW w:w="6410" w:type="dxa"/>
            <w:tcBorders>
              <w:top w:val="single" w:color="000000" w:sz="4" w:space="0"/>
              <w:left w:val="single" w:color="000000" w:sz="4" w:space="0"/>
              <w:bottom w:val="single" w:color="000000" w:sz="4" w:space="0"/>
              <w:right w:val="nil"/>
            </w:tcBorders>
          </w:tcPr>
          <w:p>
            <w:pPr>
              <w:widowControl/>
              <w:suppressAutoHyphens w:val="0"/>
              <w:ind w:firstLine="630" w:firstLineChars="300"/>
              <w:jc w:val="left"/>
              <w:rPr>
                <w:rFonts w:hint="eastAsia"/>
                <w:color w:val="auto"/>
                <w:lang w:val="en-US" w:eastAsia="zh-CN"/>
              </w:rPr>
            </w:pPr>
            <w:r>
              <w:rPr>
                <w:rFonts w:hint="eastAsia"/>
                <w:color w:val="auto"/>
                <w:lang w:val="en-US" w:eastAsia="zh-CN"/>
              </w:rPr>
              <w:t>昨日沪铝偏强震荡，沪铝主力月2206合约收至20765元/吨，涨105元，涨幅0.51%。现货方面，27日长江现货成交价格20710-20750元/吨，持平，贴水45-贴水5；广东南储报20810-20870元/吨，持平；华通报20760-20800元/吨，跌10元。持货商积极出货回笼资金，接货方压价采购且补货需求较弱，成交量平淡。</w:t>
            </w:r>
          </w:p>
          <w:p>
            <w:pPr>
              <w:widowControl/>
              <w:suppressAutoHyphens w:val="0"/>
              <w:ind w:firstLine="630" w:firstLineChars="300"/>
              <w:jc w:val="left"/>
              <w:rPr>
                <w:rFonts w:hint="eastAsia"/>
                <w:color w:val="auto"/>
                <w:lang w:val="en-US" w:eastAsia="zh-CN"/>
              </w:rPr>
            </w:pPr>
            <w:r>
              <w:rPr>
                <w:rFonts w:hint="eastAsia"/>
                <w:color w:val="auto"/>
                <w:lang w:val="en-US" w:eastAsia="zh-CN"/>
              </w:rPr>
              <w:t>27日，LME铝库存数据更新，合计下降5050吨至574550吨。巴生、新加坡双双降超2000吨，巴生仓库减少2250吨，新加坡减少2150吨，其他柔佛减少575吨，鹿特丹少量下降。</w:t>
            </w:r>
          </w:p>
          <w:p>
            <w:pPr>
              <w:widowControl/>
              <w:suppressAutoHyphens w:val="0"/>
              <w:ind w:firstLine="630" w:firstLineChars="300"/>
              <w:jc w:val="left"/>
              <w:rPr>
                <w:color w:val="auto"/>
              </w:rPr>
            </w:pPr>
            <w:r>
              <w:rPr>
                <w:rFonts w:hint="eastAsia"/>
                <w:color w:val="auto"/>
                <w:lang w:val="en-US" w:eastAsia="zh-CN"/>
              </w:rPr>
              <w:t>俄乌冲突下俄罗斯面临欧盟以及其他北约国家新一轮制裁，俄铝向外出口受阻，欧洲铝企减产预期仍存，海外供应忧虑持续。国内云南、广西等地电解铝复产及新增产能投产提速，产量有望赶超去年同期。下游华东地区疫情未得到缓解，部分企业被迫减产，国内铝锭库存去库速度放缓。美联储持续释放鹰派信号，美元高涨，宏观氛围偏空，且需求暂无明显好转迹象，市场悲观情绪浓厚，短期铝价或将继续走低。</w:t>
            </w:r>
          </w:p>
        </w:tc>
        <w:tc>
          <w:tcPr>
            <w:tcW w:w="2050" w:type="dxa"/>
            <w:tcBorders>
              <w:top w:val="single" w:color="000000" w:sz="4" w:space="0"/>
              <w:left w:val="single" w:color="000000" w:sz="4" w:space="0"/>
              <w:bottom w:val="single" w:color="000000" w:sz="4" w:space="0"/>
              <w:right w:val="single" w:color="000000" w:sz="4" w:space="0"/>
            </w:tcBorders>
          </w:tcPr>
          <w:p>
            <w:pPr>
              <w:rPr>
                <w:rFonts w:hint="eastAsia"/>
                <w:b/>
                <w:color w:val="auto"/>
                <w:lang w:eastAsia="zh-CN"/>
              </w:rPr>
            </w:pPr>
            <w:r>
              <w:rPr>
                <w:rFonts w:hint="eastAsia"/>
                <w:b/>
                <w:color w:val="auto"/>
                <w:lang w:eastAsia="zh-CN"/>
              </w:rPr>
              <w:t>建议谨慎操作，观望为主。</w:t>
            </w:r>
          </w:p>
          <w:p>
            <w:pPr>
              <w:rPr>
                <w:rFonts w:hint="eastAsia"/>
                <w:b/>
                <w:color w:val="auto"/>
                <w:lang w:eastAsia="zh-CN"/>
              </w:rPr>
            </w:pPr>
          </w:p>
          <w:p>
            <w:pPr>
              <w:rPr>
                <w:b/>
                <w:color w:val="auto"/>
                <w:lang w:eastAsia="zh-CN"/>
              </w:rPr>
            </w:pPr>
            <w:r>
              <w:rPr>
                <w:rFonts w:hint="eastAsia"/>
                <w:b/>
                <w:color w:val="auto"/>
                <w:lang w:eastAsia="zh-CN"/>
              </w:rPr>
              <w:t>（有</w:t>
            </w:r>
            <w:r>
              <w:rPr>
                <w:rFonts w:hint="eastAsia"/>
                <w:b/>
                <w:color w:val="auto"/>
                <w:lang w:eastAsia="zh-CN"/>
              </w:rPr>
              <w:t>色组）</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ascii="宋体" w:hAnsi="宋体" w:cs="宋体"/>
                <w:b/>
                <w:color w:val="auto"/>
                <w:kern w:val="0"/>
                <w:szCs w:val="21"/>
                <w:lang w:eastAsia="zh-CN"/>
              </w:rPr>
            </w:pPr>
            <w:r>
              <w:rPr>
                <w:rFonts w:hint="eastAsia" w:ascii="宋体" w:hAnsi="宋体" w:cs="宋体"/>
                <w:b/>
                <w:color w:val="auto"/>
                <w:kern w:val="0"/>
                <w:szCs w:val="21"/>
                <w:lang w:eastAsia="zh-CN"/>
              </w:rPr>
              <w:t>天胶</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昨日欧美股市小幅收涨，国内股市下探后大幅回升，提振金融市场情绪。面对经济下行的压力，国内政策面近期持续有积极动作，国内工业品期货指数昨日保持震荡，对胶价的影响弱化，化工板块有企稳迹象，关注其能否继续向上开拓反弹空间及对胶价的影响。行业方面，昨日泰国原料价格显著下跌，同时拖累东南亚天胶船货价格。国内云南和海南地区胶水收购价暂时持稳于低位水平。近期国内天胶总库存持续回落，有利于胶价的持稳。昨日人民币干胶市场贸易商报盘出货积极性偏淡，采购积极性平平，临近五一假期，商家出货采买较为谨慎，下游轮胎厂采购一般；美金内盘贸易商报盘氛围冷清，商家谨慎刚需买货。国产胶方面盘中贸易商报盘积极性较好，买盘采购情绪一般，市场主流成交较昨日无明显好转，上海地区提货及物流仍受限。昨日然橡胶现货价格小幅调整（全乳胶12425元/吨，+100/+0.81%；20号泰标1660美元/吨，持稳，折合人民币10889元/吨；20号泰混12450元/吨，持稳）。</w:t>
            </w:r>
          </w:p>
          <w:p>
            <w:pPr>
              <w:widowControl/>
              <w:suppressAutoHyphens w:val="0"/>
              <w:ind w:firstLine="630" w:firstLineChars="300"/>
              <w:jc w:val="left"/>
              <w:rPr>
                <w:rFonts w:hint="eastAsia" w:eastAsia="宋体"/>
                <w:color w:val="auto"/>
                <w:lang w:eastAsia="zh-CN"/>
              </w:rPr>
            </w:pPr>
            <w:r>
              <w:rPr>
                <w:rFonts w:hint="eastAsia"/>
                <w:color w:val="auto"/>
              </w:rPr>
              <w:t>技术面：昨日RU2209保持低位窄幅震荡的局面，多动持仓继续下降，不利于胶价的波动，下方支撑保持在12500-12600，上方压力在12800附近。</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操作建议：日内轻仓交易为主或观望，低位震荡思路。</w:t>
            </w:r>
          </w:p>
          <w:p>
            <w:pPr>
              <w:rPr>
                <w:rFonts w:hint="eastAsia"/>
                <w:b/>
                <w:color w:val="auto"/>
                <w:lang w:eastAsia="zh-CN"/>
              </w:rPr>
            </w:pPr>
          </w:p>
          <w:p>
            <w:pPr>
              <w:rPr>
                <w:b/>
                <w:color w:val="auto"/>
                <w:lang w:eastAsia="zh-CN"/>
              </w:rPr>
            </w:pPr>
            <w:r>
              <w:rPr>
                <w:rFonts w:hint="eastAsia"/>
                <w:b/>
                <w:color w:val="auto"/>
                <w:lang w:eastAsia="zh-CN"/>
              </w:rPr>
              <w:t>（王</w:t>
            </w:r>
            <w:r>
              <w:rPr>
                <w:rFonts w:hint="eastAsia"/>
                <w:b/>
                <w:color w:val="auto"/>
                <w:lang w:eastAsia="zh-CN"/>
              </w:rPr>
              <w:t>海峰）</w:t>
            </w:r>
          </w:p>
        </w:tc>
      </w:tr>
      <w:tr>
        <w:tblPrEx>
          <w:tblCellMar>
            <w:top w:w="0" w:type="dxa"/>
            <w:left w:w="108" w:type="dxa"/>
            <w:bottom w:w="0" w:type="dxa"/>
            <w:right w:w="108" w:type="dxa"/>
          </w:tblCellMar>
        </w:tblPrEx>
        <w:trPr>
          <w:cantSplit/>
          <w:trHeight w:val="1287" w:hRule="atLeast"/>
        </w:trPr>
        <w:tc>
          <w:tcPr>
            <w:tcW w:w="534" w:type="dxa"/>
            <w:tcBorders>
              <w:top w:val="single" w:color="000000" w:sz="4" w:space="0"/>
              <w:left w:val="single" w:color="000000" w:sz="4" w:space="0"/>
              <w:bottom w:val="single" w:color="000000" w:sz="4" w:space="0"/>
              <w:right w:val="nil"/>
            </w:tcBorders>
            <w:vAlign w:val="top"/>
          </w:tcPr>
          <w:p>
            <w:pPr>
              <w:widowControl/>
              <w:jc w:val="left"/>
              <w:rPr>
                <w:rFonts w:hint="default" w:ascii="宋体" w:hAnsi="宋体" w:eastAsia="宋体" w:cs="宋体"/>
                <w:b/>
                <w:color w:val="auto"/>
                <w:kern w:val="0"/>
                <w:sz w:val="21"/>
                <w:szCs w:val="21"/>
                <w:lang w:val="en-US" w:eastAsia="zh-CN" w:bidi="ar-SA"/>
              </w:rPr>
            </w:pPr>
            <w:r>
              <w:rPr>
                <w:rFonts w:hint="eastAsia" w:ascii="宋体" w:hAnsi="宋体" w:cs="宋体"/>
                <w:b/>
                <w:color w:val="auto"/>
                <w:kern w:val="0"/>
                <w:sz w:val="21"/>
                <w:szCs w:val="21"/>
                <w:lang w:val="en-US" w:eastAsia="zh-CN" w:bidi="ar-SA"/>
              </w:rPr>
              <w:t>原油</w:t>
            </w:r>
          </w:p>
        </w:tc>
        <w:tc>
          <w:tcPr>
            <w:tcW w:w="6410" w:type="dxa"/>
            <w:tcBorders>
              <w:top w:val="single" w:color="000000" w:sz="4" w:space="0"/>
              <w:left w:val="single" w:color="000000" w:sz="4" w:space="0"/>
              <w:bottom w:val="single" w:color="000000" w:sz="4" w:space="0"/>
              <w:right w:val="nil"/>
            </w:tcBorders>
            <w:vAlign w:val="top"/>
          </w:tcPr>
          <w:p>
            <w:pPr>
              <w:widowControl/>
              <w:suppressAutoHyphens w:val="0"/>
              <w:ind w:firstLine="630" w:firstLineChars="300"/>
              <w:jc w:val="left"/>
              <w:rPr>
                <w:rFonts w:hint="eastAsia"/>
                <w:color w:val="auto"/>
              </w:rPr>
            </w:pPr>
            <w:r>
              <w:rPr>
                <w:rFonts w:hint="eastAsia"/>
                <w:color w:val="auto"/>
              </w:rPr>
              <w:t>美国能源信息署（EIA）公布上周原油及原油制成品库存数据后，原油期货价格获得了一些支撑。EIA报告称，美国上周原油库存增加70万桶，汽油库存减少160万桶，馏分油库存减少140万桶。市场预计汽油库存增加10万桶、馏分油库存减少10万桶。EIA报告显示，美国上周原油出口减少54.9万桶/日至372.1万桶/日。上周美国国内原油产量减少0万桶至1190万桶/日。美国上周战略石油储备(SPR)库存减少291.0万桶至5.531亿桶，降幅0.52%。美国原油产品四周平均供应量为1936万桶/日，较去年同期减少1.6%。美国石油协会（API）公布数据显示，美国至4月22日当周API原油库存增加478.4万桶，预期增加216.7万桶，前值减少449.6万桶。4月26日数据，由于疫情，中国原油加工量将在4月份达到两年来的最低点，四大国有炼厂4月份的运行率降至76.4%，至4月20日，山东地炼开工降至50.1%的两年低点。伊朗外交部发言人表示，重启谈判以挽救2015年的核协议可能迫在眉睫，并表示中断“不符合任何一方的利益”。 预计美国原油库存将出现季节性上涨，但炼油需求强劲。至4月22日当周，美湾Platts ULSD与WTI的裂解价差平均接近50美元/桶，较前一周上涨近7美元/桶。根据EIA基于贝克休斯数据的月度估计，自2020年8月美国运营钻机数量处于低位以来，钻机数量每月都在上升，到2022年2月达到636台。最近一周的数据显示，截至4月15日的一周，总钻机数增加到693台，比2021年同期增加了254台，是自2020年4月以来的最高数量。</w:t>
            </w:r>
          </w:p>
          <w:p>
            <w:pPr>
              <w:widowControl/>
              <w:suppressAutoHyphens w:val="0"/>
              <w:ind w:firstLine="630" w:firstLineChars="300"/>
              <w:jc w:val="left"/>
              <w:rPr>
                <w:rFonts w:hint="eastAsia" w:ascii="Times New Roman" w:hAnsi="Times New Roman" w:eastAsia="宋体" w:cs="Times New Roman"/>
                <w:color w:val="auto"/>
                <w:kern w:val="2"/>
                <w:sz w:val="21"/>
                <w:lang w:val="en-US" w:eastAsia="zh-CN" w:bidi="ar-SA"/>
              </w:rPr>
            </w:pPr>
            <w:r>
              <w:rPr>
                <w:rFonts w:hint="eastAsia"/>
                <w:color w:val="auto"/>
              </w:rPr>
              <w:t>操作建议: 美国商业原油库存增幅不及预期，汽油和馏分油库存下降支撑市场气氛，欧美原油期货在波动后小幅收涨。6月WTI涨0.32报102.02美元/桶，涨幅0.3%；6月布伦特涨0.33报105.32美元/桶，涨幅0.3%。</w:t>
            </w:r>
          </w:p>
        </w:tc>
        <w:tc>
          <w:tcPr>
            <w:tcW w:w="2050" w:type="dxa"/>
            <w:tcBorders>
              <w:top w:val="single" w:color="000000" w:sz="4" w:space="0"/>
              <w:left w:val="single" w:color="000000" w:sz="4" w:space="0"/>
              <w:bottom w:val="single" w:color="000000" w:sz="4" w:space="0"/>
              <w:right w:val="single" w:color="000000" w:sz="4" w:space="0"/>
            </w:tcBorders>
            <w:vAlign w:val="top"/>
          </w:tcPr>
          <w:p>
            <w:pPr>
              <w:rPr>
                <w:rFonts w:hint="eastAsia"/>
                <w:b/>
                <w:color w:val="auto"/>
                <w:lang w:eastAsia="zh-CN"/>
              </w:rPr>
            </w:pPr>
            <w:r>
              <w:rPr>
                <w:rFonts w:hint="eastAsia"/>
                <w:b/>
                <w:color w:val="auto"/>
                <w:lang w:eastAsia="zh-CN"/>
              </w:rPr>
              <w:t>操作思路以震荡偏空为主，关注布伦特原油震荡区间95-110美元/桶，注意止盈止损。</w:t>
            </w:r>
          </w:p>
          <w:p>
            <w:pPr>
              <w:rPr>
                <w:rFonts w:hint="eastAsia"/>
                <w:b/>
                <w:color w:val="auto"/>
                <w:lang w:eastAsia="zh-CN"/>
              </w:rPr>
            </w:pPr>
          </w:p>
          <w:p>
            <w:pPr>
              <w:rPr>
                <w:rFonts w:hint="eastAsia" w:ascii="Times New Roman" w:hAnsi="Times New Roman" w:eastAsia="宋体" w:cs="Times New Roman"/>
                <w:b/>
                <w:color w:val="auto"/>
                <w:kern w:val="2"/>
                <w:sz w:val="21"/>
                <w:lang w:val="en-US" w:eastAsia="zh-CN" w:bidi="ar-SA"/>
              </w:rPr>
            </w:pPr>
            <w:r>
              <w:rPr>
                <w:rFonts w:hint="eastAsia"/>
                <w:b/>
                <w:color w:val="auto"/>
                <w:lang w:eastAsia="zh-CN"/>
              </w:rPr>
              <w:t>（</w:t>
            </w:r>
            <w:r>
              <w:rPr>
                <w:rFonts w:hint="eastAsia"/>
                <w:b/>
                <w:color w:val="auto"/>
                <w:lang w:val="en-US" w:eastAsia="zh-CN"/>
              </w:rPr>
              <w:t>黄</w:t>
            </w:r>
            <w:r>
              <w:rPr>
                <w:rFonts w:hint="eastAsia"/>
                <w:b/>
                <w:color w:val="auto"/>
                <w:lang w:val="en-US" w:eastAsia="zh-CN"/>
              </w:rPr>
              <w:t>世俊</w:t>
            </w:r>
            <w:r>
              <w:rPr>
                <w:rFonts w:hint="eastAsia"/>
                <w:b/>
                <w:color w:val="auto"/>
                <w:lang w:eastAsia="zh-CN"/>
              </w:rPr>
              <w:t>）</w:t>
            </w:r>
          </w:p>
        </w:tc>
      </w:tr>
    </w:tbl>
    <w:p>
      <w:pPr>
        <w:widowControl/>
        <w:jc w:val="left"/>
        <w:rPr>
          <w:rFonts w:ascii="黑体" w:eastAsia="黑体" w:cs="宋体"/>
          <w:color w:val="auto"/>
          <w:szCs w:val="21"/>
        </w:rPr>
      </w:pPr>
      <w:r>
        <w:rPr>
          <w:rFonts w:hint="eastAsia" w:ascii="黑体" w:eastAsia="黑体" w:cs="宋体"/>
          <w:color w:val="auto"/>
          <w:szCs w:val="21"/>
        </w:rPr>
        <w:t>本报告中的信息均来源于公开资料，我公司对这些信息的准确性和完整性不作任何保证，报告中的内容和意见仅供参考。我公司及员工对使用本报刊及其内容所引发的任何直接或间接损失概不负责。本报刊版权归道通期货所有。</w:t>
      </w:r>
    </w:p>
    <w:p>
      <w:pPr>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pPr>
    <w:r>
      <w:rPr>
        <w:lang w:eastAsia="zh-CN"/>
      </w:rPr>
      <mc:AlternateContent>
        <mc:Choice Requires="wps">
          <w:drawing>
            <wp:anchor distT="0" distB="0" distL="0" distR="0" simplePos="0" relativeHeight="251659264" behindDoc="0" locked="0" layoutInCell="1" allowOverlap="1">
              <wp:simplePos x="0" y="0"/>
              <wp:positionH relativeFrom="page">
                <wp:posOffset>6361430</wp:posOffset>
              </wp:positionH>
              <wp:positionV relativeFrom="paragraph">
                <wp:posOffset>635</wp:posOffset>
              </wp:positionV>
              <wp:extent cx="246380" cy="124460"/>
              <wp:effectExtent l="8255" t="635" r="2540" b="8255"/>
              <wp:wrapSquare wrapText="largest"/>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246380" cy="124460"/>
                      </a:xfrm>
                      <a:prstGeom prst="rect">
                        <a:avLst/>
                      </a:prstGeom>
                      <a:solidFill>
                        <a:srgbClr val="FFFFFF">
                          <a:alpha val="0"/>
                        </a:srgbClr>
                      </a:solidFill>
                      <a:ln>
                        <a:noFill/>
                      </a:ln>
                      <a:effectLst/>
                    </wps:spPr>
                    <wps:txbx>
                      <w:txbxContent>
                        <w:p>
                          <w:pPr>
                            <w:pStyle w:val="2"/>
                          </w:pPr>
                          <w:r>
                            <w:fldChar w:fldCharType="begin"/>
                          </w:r>
                          <w:r>
                            <w:instrText xml:space="preserve"> PAGE </w:instrText>
                          </w:r>
                          <w:r>
                            <w:fldChar w:fldCharType="separate"/>
                          </w:r>
                          <w:r>
                            <w:t>6</w:t>
                          </w:r>
                          <w:r>
                            <w:fldChar w:fldCharType="end"/>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500.9pt;margin-top:0.05pt;height:9.8pt;width:19.4pt;mso-position-horizontal-relative:page;mso-wrap-distance-bottom:0pt;mso-wrap-distance-left:0pt;mso-wrap-distance-right:0pt;mso-wrap-distance-top:0pt;z-index:251659264;mso-width-relative:page;mso-height-relative:page;" fillcolor="#FFFFFF" filled="t" stroked="f" coordsize="21600,21600" o:gfxdata="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LcXJT1AAAAAkBAAAPAAAAAAAAAAEAIAAAACIAAABkcnMvZG93bnJldi54bWxQSwEC&#10;FAAUAAAACACHTuJAExrNKjECAABYBAAADgAAAAAAAAABACAAAAAjAQAAZHJzL2Uyb0RvYy54bWxQ&#10;SwUGAAAAAAYABgBZAQAAxgUAAAAA&#10;">
              <v:fill on="t" opacity="0f" focussize="0,0"/>
              <v:stroke on="f"/>
              <v:imagedata o:title=""/>
              <o:lock v:ext="edit" aspectratio="f"/>
              <v:textbox inset="0mm,0mm,0mm,0mm">
                <w:txbxContent>
                  <w:p>
                    <w:pPr>
                      <w:pStyle w:val="2"/>
                    </w:pPr>
                    <w:r>
                      <w:fldChar w:fldCharType="begin"/>
                    </w:r>
                    <w:r>
                      <w:instrText xml:space="preserve"> PAGE </w:instrText>
                    </w:r>
                    <w:r>
                      <w:fldChar w:fldCharType="separate"/>
                    </w:r>
                    <w:r>
                      <w:t>6</w:t>
                    </w:r>
                    <w:r>
                      <w:fldChar w:fldCharType="end"/>
                    </w:r>
                  </w:p>
                </w:txbxContent>
              </v:textbox>
              <w10:wrap type="square" side="largest"/>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rPr>
      <w:drawing>
        <wp:inline distT="0" distB="0" distL="0" distR="0">
          <wp:extent cx="4343400" cy="647700"/>
          <wp:effectExtent l="0" t="0" r="0" b="0"/>
          <wp:docPr id="3" name="图片 3" descr="01413417121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014134171215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4343400" cy="647700"/>
                  </a:xfrm>
                  <a:prstGeom prst="rect">
                    <a:avLst/>
                  </a:prstGeom>
                  <a:solidFill>
                    <a:srgbClr val="FFFFFF"/>
                  </a:solidFill>
                  <a:ln>
                    <a:noFill/>
                  </a:ln>
                  <a:effectLst/>
                </pic:spPr>
              </pic:pic>
            </a:graphicData>
          </a:graphic>
        </wp:inline>
      </w:drawing>
    </w:r>
    <w:r>
      <w:rPr>
        <w:rFonts w:hint="eastAsia"/>
        <w:b/>
        <w:sz w:val="24"/>
      </w:rPr>
      <w:t>研究所</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53E2C"/>
    <w:rsid w:val="000E5154"/>
    <w:rsid w:val="000F371A"/>
    <w:rsid w:val="0012356C"/>
    <w:rsid w:val="001C1FC2"/>
    <w:rsid w:val="001D4A9A"/>
    <w:rsid w:val="00212FE7"/>
    <w:rsid w:val="00293230"/>
    <w:rsid w:val="002C2C71"/>
    <w:rsid w:val="003B7B20"/>
    <w:rsid w:val="00423CD1"/>
    <w:rsid w:val="004C6700"/>
    <w:rsid w:val="004D5BD2"/>
    <w:rsid w:val="004D5EAC"/>
    <w:rsid w:val="004E76CE"/>
    <w:rsid w:val="004F7FFA"/>
    <w:rsid w:val="00525381"/>
    <w:rsid w:val="00533C3E"/>
    <w:rsid w:val="005579C3"/>
    <w:rsid w:val="00577396"/>
    <w:rsid w:val="00592B06"/>
    <w:rsid w:val="00635AE0"/>
    <w:rsid w:val="00642BBB"/>
    <w:rsid w:val="007E13BC"/>
    <w:rsid w:val="00944398"/>
    <w:rsid w:val="00956E05"/>
    <w:rsid w:val="00977AD7"/>
    <w:rsid w:val="009D7439"/>
    <w:rsid w:val="00A2026A"/>
    <w:rsid w:val="00A968EA"/>
    <w:rsid w:val="00AC565B"/>
    <w:rsid w:val="00AF5C20"/>
    <w:rsid w:val="00B5427D"/>
    <w:rsid w:val="00B57BA2"/>
    <w:rsid w:val="00BD402B"/>
    <w:rsid w:val="00C307B2"/>
    <w:rsid w:val="00C37202"/>
    <w:rsid w:val="00C56BD5"/>
    <w:rsid w:val="00CF0B5A"/>
    <w:rsid w:val="00D215DB"/>
    <w:rsid w:val="00D406FC"/>
    <w:rsid w:val="00D711A4"/>
    <w:rsid w:val="00D835F1"/>
    <w:rsid w:val="00DA0DD2"/>
    <w:rsid w:val="00F51399"/>
    <w:rsid w:val="01006B66"/>
    <w:rsid w:val="01A17F68"/>
    <w:rsid w:val="08D77793"/>
    <w:rsid w:val="09656767"/>
    <w:rsid w:val="099174FC"/>
    <w:rsid w:val="0A57325E"/>
    <w:rsid w:val="0A624104"/>
    <w:rsid w:val="0B544A92"/>
    <w:rsid w:val="0C12090D"/>
    <w:rsid w:val="0D7A2D36"/>
    <w:rsid w:val="12294B95"/>
    <w:rsid w:val="124F21B0"/>
    <w:rsid w:val="14E22F0B"/>
    <w:rsid w:val="16714D70"/>
    <w:rsid w:val="18B11A3E"/>
    <w:rsid w:val="18B21305"/>
    <w:rsid w:val="195C02AF"/>
    <w:rsid w:val="1A8E2066"/>
    <w:rsid w:val="1C955016"/>
    <w:rsid w:val="1CAE3AF0"/>
    <w:rsid w:val="1EC70303"/>
    <w:rsid w:val="1F7E29BD"/>
    <w:rsid w:val="20970D76"/>
    <w:rsid w:val="226C1608"/>
    <w:rsid w:val="227E57F8"/>
    <w:rsid w:val="227F224C"/>
    <w:rsid w:val="23F270CF"/>
    <w:rsid w:val="2A7A4984"/>
    <w:rsid w:val="2B252FF2"/>
    <w:rsid w:val="2D8D3BC9"/>
    <w:rsid w:val="31EC1213"/>
    <w:rsid w:val="321D62B5"/>
    <w:rsid w:val="341F7FC4"/>
    <w:rsid w:val="353D5E3C"/>
    <w:rsid w:val="358935BB"/>
    <w:rsid w:val="36AB3BBE"/>
    <w:rsid w:val="384D33C8"/>
    <w:rsid w:val="3CF13880"/>
    <w:rsid w:val="406C6812"/>
    <w:rsid w:val="40A56BD2"/>
    <w:rsid w:val="41A00C7B"/>
    <w:rsid w:val="424E1F35"/>
    <w:rsid w:val="426E1857"/>
    <w:rsid w:val="430419B8"/>
    <w:rsid w:val="442D0F38"/>
    <w:rsid w:val="4A29450B"/>
    <w:rsid w:val="4A2A5B0A"/>
    <w:rsid w:val="4B25247A"/>
    <w:rsid w:val="4CDB5F58"/>
    <w:rsid w:val="4D9E7DC0"/>
    <w:rsid w:val="4DA0349C"/>
    <w:rsid w:val="4FCE0CA2"/>
    <w:rsid w:val="501C1047"/>
    <w:rsid w:val="509328D4"/>
    <w:rsid w:val="5132643B"/>
    <w:rsid w:val="526922B9"/>
    <w:rsid w:val="53B809A0"/>
    <w:rsid w:val="578723B2"/>
    <w:rsid w:val="5B922A05"/>
    <w:rsid w:val="5CDE1F17"/>
    <w:rsid w:val="5FAE7A14"/>
    <w:rsid w:val="60593F12"/>
    <w:rsid w:val="66714647"/>
    <w:rsid w:val="66CC74E1"/>
    <w:rsid w:val="73C8743F"/>
    <w:rsid w:val="7A3D7229"/>
    <w:rsid w:val="7A857A1E"/>
    <w:rsid w:val="7A8C2DBA"/>
    <w:rsid w:val="7B9137A7"/>
    <w:rsid w:val="7DFC75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jc w:val="both"/>
    </w:pPr>
    <w:rPr>
      <w:rFonts w:ascii="Times New Roman" w:hAnsi="Times New Roman" w:eastAsia="宋体" w:cs="Times New Roman"/>
      <w:kern w:val="2"/>
      <w:sz w:val="21"/>
      <w:lang w:val="en-US" w:eastAsia="ar-SA"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rPr>
  </w:style>
  <w:style w:type="paragraph" w:styleId="3">
    <w:name w:val="header"/>
    <w:basedOn w:val="1"/>
    <w:link w:val="7"/>
    <w:qFormat/>
    <w:uiPriority w:val="0"/>
    <w:pPr>
      <w:pBdr>
        <w:bottom w:val="single" w:color="000000" w:sz="4" w:space="1"/>
      </w:pBdr>
      <w:tabs>
        <w:tab w:val="center" w:pos="4153"/>
        <w:tab w:val="right" w:pos="8306"/>
      </w:tabs>
      <w:snapToGrid w:val="0"/>
      <w:jc w:val="center"/>
    </w:pPr>
    <w:rPr>
      <w:sz w:val="18"/>
    </w:rPr>
  </w:style>
  <w:style w:type="character" w:customStyle="1" w:styleId="6">
    <w:name w:val="页脚 字符"/>
    <w:basedOn w:val="5"/>
    <w:link w:val="2"/>
    <w:qFormat/>
    <w:uiPriority w:val="0"/>
    <w:rPr>
      <w:rFonts w:ascii="Times New Roman" w:hAnsi="Times New Roman" w:eastAsia="宋体" w:cs="Times New Roman"/>
      <w:sz w:val="18"/>
      <w:szCs w:val="20"/>
      <w:lang w:eastAsia="ar-SA"/>
    </w:rPr>
  </w:style>
  <w:style w:type="character" w:customStyle="1" w:styleId="7">
    <w:name w:val="页眉 字符"/>
    <w:basedOn w:val="5"/>
    <w:link w:val="3"/>
    <w:qFormat/>
    <w:uiPriority w:val="0"/>
    <w:rPr>
      <w:rFonts w:ascii="Times New Roman" w:hAnsi="Times New Roman" w:eastAsia="宋体" w:cs="Times New Roman"/>
      <w:sz w:val="18"/>
      <w:szCs w:val="20"/>
      <w:lang w:eastAsia="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845</Words>
  <Characters>4817</Characters>
  <Lines>40</Lines>
  <Paragraphs>11</Paragraphs>
  <TotalTime>4</TotalTime>
  <ScaleCrop>false</ScaleCrop>
  <LinksUpToDate>false</LinksUpToDate>
  <CharactersWithSpaces>5651</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2021-04-23T15:55:00Z</dcterms:created>
  <dc:creator>admin</dc:creator>
  <cp:lastModifiedBy>admin</cp:lastModifiedBy>
  <dcterms:modified xsi:type="dcterms:W3CDTF">2022-04-28T00:42:16Z</dcterms:modified>
  <cp:revision>72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241ED9DFB688474D48B653619F6A5D07</vt:lpwstr>
  </property>
</Properties>
</file>