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4月29</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jc w:val="left"/>
        <w:rPr>
          <w:rFonts w:hint="eastAsia"/>
          <w:color w:val="auto"/>
        </w:rPr>
      </w:pPr>
    </w:p>
    <w:p>
      <w:pPr>
        <w:jc w:val="left"/>
        <w:rPr>
          <w:rFonts w:hint="eastAsia"/>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美国 第一季度 实际GDP年化季率初值前值：6.90%  预期：1.10%  实际值-1.2 这是自近两年前疫</w:t>
      </w:r>
      <w:bookmarkStart w:id="0" w:name="_GoBack"/>
      <w:bookmarkEnd w:id="0"/>
      <w:r>
        <w:rPr>
          <w:rFonts w:hint="eastAsia"/>
          <w:color w:val="auto"/>
        </w:rPr>
        <w:t>情引发的经济衰退结束以来最慢的增长率.而核心PCE物价指数年化季率初值由5.0增至实际值5.20%， 初请失业金人数(万) 由18.40减少至18。</w:t>
      </w:r>
    </w:p>
    <w:p>
      <w:pPr>
        <w:jc w:val="left"/>
        <w:rPr>
          <w:rFonts w:hint="eastAsia"/>
          <w:color w:val="auto"/>
        </w:rPr>
      </w:pPr>
      <w:r>
        <w:rPr>
          <w:rFonts w:hint="eastAsia"/>
          <w:color w:val="auto"/>
        </w:rPr>
        <w:t>2  为了应对迅速增长的物价上涨，美联储计划实施一系列旨在进一步减缓经济增长的加息。高盛认为，一年后出现负增长的可能性约为35%。德意志银行在一份预测中认为，美国经济有可能在2023年末至2024年初出现“严重衰退”</w:t>
      </w:r>
    </w:p>
    <w:p>
      <w:pPr>
        <w:jc w:val="left"/>
        <w:rPr>
          <w:rFonts w:hint="eastAsia"/>
          <w:color w:val="auto"/>
        </w:rPr>
      </w:pPr>
      <w:r>
        <w:rPr>
          <w:rFonts w:hint="eastAsia"/>
          <w:color w:val="auto"/>
        </w:rPr>
        <w:t>3  日本央行在结束为期两天的政策会议后发表声明表示，将在每个工作日都开展固定利率债券购买操作。同时，日本央行将短期政策利率维持在-0.1％不变，符合预期。</w:t>
      </w:r>
    </w:p>
    <w:p>
      <w:pPr>
        <w:jc w:val="left"/>
        <w:rPr>
          <w:rFonts w:hint="eastAsia"/>
          <w:color w:val="auto"/>
        </w:rPr>
      </w:pPr>
      <w:r>
        <w:rPr>
          <w:rFonts w:hint="eastAsia"/>
          <w:color w:val="auto"/>
        </w:rPr>
        <w:t>4  世界黄金协会在最新报告中指出，实物黄金需求增至1234吨，比2021年第一季度增长34%。</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财政部：2022年5月1日至2023年3月31日我国将对煤炭实施零进口暂定税率</w:t>
      </w:r>
    </w:p>
    <w:p>
      <w:pPr>
        <w:jc w:val="left"/>
        <w:rPr>
          <w:rFonts w:hint="eastAsia"/>
          <w:color w:val="auto"/>
        </w:rPr>
      </w:pPr>
      <w:r>
        <w:rPr>
          <w:rFonts w:hint="eastAsia"/>
          <w:color w:val="auto"/>
        </w:rPr>
        <w:t>2  商务部：美方单边加征关税措施不利于中国，不利于美国，不利于世界。在当前高通胀形势下，美方取消对华加征关税符合美国企业和消费者的根本利益。</w:t>
      </w:r>
    </w:p>
    <w:p>
      <w:pPr>
        <w:jc w:val="left"/>
        <w:rPr>
          <w:rFonts w:hint="eastAsia"/>
          <w:color w:val="auto"/>
        </w:rPr>
      </w:pPr>
      <w:r>
        <w:rPr>
          <w:rFonts w:hint="eastAsia"/>
          <w:color w:val="auto"/>
        </w:rPr>
        <w:t>3  中国人民银行设立科技创新再贷款，引导金融机构加大对科技创新的支持力度。</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上期所、大商所、郑商所、上金所</w:t>
      </w:r>
      <w:r>
        <w:rPr>
          <w:rFonts w:hint="eastAsia"/>
          <w:color w:val="auto"/>
        </w:rPr>
        <w:tab/>
      </w:r>
      <w:r>
        <w:rPr>
          <w:rFonts w:hint="eastAsia"/>
          <w:color w:val="auto"/>
        </w:rPr>
        <w:t>劳动节，不进行夜盘交易。</w:t>
      </w:r>
    </w:p>
    <w:p>
      <w:pPr>
        <w:jc w:val="left"/>
        <w:rPr>
          <w:rFonts w:hint="eastAsia"/>
          <w:color w:val="auto"/>
        </w:rPr>
      </w:pPr>
      <w:r>
        <w:rPr>
          <w:rFonts w:hint="eastAsia"/>
          <w:color w:val="auto"/>
        </w:rPr>
        <w:t>日本东京证券交易所</w:t>
      </w:r>
      <w:r>
        <w:rPr>
          <w:rFonts w:hint="eastAsia"/>
          <w:color w:val="auto"/>
        </w:rPr>
        <w:tab/>
      </w:r>
      <w:r>
        <w:rPr>
          <w:rFonts w:hint="eastAsia"/>
          <w:color w:val="auto"/>
        </w:rPr>
        <w:t>昭和之日，休市一日。</w:t>
      </w:r>
    </w:p>
    <w:p>
      <w:pPr>
        <w:jc w:val="left"/>
        <w:rPr>
          <w:rFonts w:hint="eastAsia"/>
          <w:color w:val="auto"/>
        </w:rPr>
      </w:pPr>
      <w:r>
        <w:rPr>
          <w:rFonts w:hint="eastAsia"/>
          <w:color w:val="auto"/>
        </w:rPr>
        <w:t>17:00</w:t>
      </w:r>
      <w:r>
        <w:rPr>
          <w:rFonts w:hint="eastAsia"/>
          <w:color w:val="auto"/>
        </w:rPr>
        <w:tab/>
      </w:r>
      <w:r>
        <w:rPr>
          <w:rFonts w:hint="eastAsia"/>
          <w:color w:val="auto"/>
        </w:rPr>
        <w:t>欧元区4月核心调和CPI年率-未季调初值(%)</w:t>
      </w:r>
      <w:r>
        <w:rPr>
          <w:rFonts w:hint="eastAsia"/>
          <w:color w:val="auto"/>
        </w:rPr>
        <w:tab/>
      </w:r>
      <w:r>
        <w:rPr>
          <w:rFonts w:hint="eastAsia"/>
          <w:color w:val="auto"/>
        </w:rPr>
        <w:t>3.2</w:t>
      </w:r>
      <w:r>
        <w:rPr>
          <w:rFonts w:hint="eastAsia"/>
          <w:color w:val="auto"/>
        </w:rPr>
        <w:tab/>
      </w:r>
    </w:p>
    <w:p>
      <w:pPr>
        <w:jc w:val="left"/>
        <w:rPr>
          <w:rFonts w:hint="eastAsia"/>
          <w:color w:val="auto"/>
        </w:rPr>
      </w:pPr>
      <w:r>
        <w:rPr>
          <w:rFonts w:hint="eastAsia"/>
          <w:color w:val="auto"/>
        </w:rPr>
        <w:t>欧元区4月调和CPI月率初值(%)</w:t>
      </w:r>
      <w:r>
        <w:rPr>
          <w:rFonts w:hint="eastAsia"/>
          <w:color w:val="auto"/>
        </w:rPr>
        <w:tab/>
      </w:r>
      <w:r>
        <w:rPr>
          <w:rFonts w:hint="eastAsia"/>
          <w:color w:val="auto"/>
        </w:rPr>
        <w:t>2.4</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欧元区4月调和CPI年率-未季调初值(%)</w:t>
      </w:r>
      <w:r>
        <w:rPr>
          <w:rFonts w:hint="eastAsia"/>
          <w:color w:val="auto"/>
        </w:rPr>
        <w:tab/>
      </w:r>
      <w:r>
        <w:rPr>
          <w:rFonts w:hint="eastAsia"/>
          <w:color w:val="auto"/>
        </w:rPr>
        <w:t>7.4</w:t>
      </w:r>
      <w:r>
        <w:rPr>
          <w:rFonts w:hint="eastAsia"/>
          <w:color w:val="auto"/>
        </w:rPr>
        <w:tab/>
      </w:r>
      <w:r>
        <w:rPr>
          <w:rFonts w:hint="eastAsia"/>
          <w:color w:val="auto"/>
        </w:rPr>
        <w:t>7.5</w:t>
      </w:r>
      <w:r>
        <w:rPr>
          <w:rFonts w:hint="eastAsia"/>
          <w:color w:val="auto"/>
        </w:rPr>
        <w:tab/>
      </w:r>
      <w:r>
        <w:rPr>
          <w:rFonts w:hint="eastAsia"/>
          <w:color w:val="auto"/>
        </w:rPr>
        <w:tab/>
      </w:r>
    </w:p>
    <w:p>
      <w:pPr>
        <w:jc w:val="left"/>
        <w:rPr>
          <w:rFonts w:hint="eastAsia"/>
          <w:color w:val="auto"/>
        </w:rPr>
      </w:pPr>
      <w:r>
        <w:rPr>
          <w:rFonts w:hint="eastAsia"/>
          <w:color w:val="auto"/>
        </w:rPr>
        <w:t>欧元区第一季度季调后GDP季率初值(%)</w:t>
      </w:r>
      <w:r>
        <w:rPr>
          <w:rFonts w:hint="eastAsia"/>
          <w:color w:val="auto"/>
        </w:rPr>
        <w:tab/>
      </w:r>
      <w:r>
        <w:rPr>
          <w:rFonts w:hint="eastAsia"/>
          <w:color w:val="auto"/>
        </w:rPr>
        <w:t>0.3</w:t>
      </w:r>
      <w:r>
        <w:rPr>
          <w:rFonts w:hint="eastAsia"/>
          <w:color w:val="auto"/>
        </w:rPr>
        <w:tab/>
      </w:r>
      <w:r>
        <w:rPr>
          <w:rFonts w:hint="eastAsia"/>
          <w:color w:val="auto"/>
        </w:rPr>
        <w:t>0.3</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欧元区第一季度季调后GDP年率初值(%)</w:t>
      </w:r>
      <w:r>
        <w:rPr>
          <w:rFonts w:hint="eastAsia"/>
          <w:color w:val="auto"/>
        </w:rPr>
        <w:tab/>
      </w:r>
      <w:r>
        <w:rPr>
          <w:rFonts w:hint="eastAsia"/>
          <w:color w:val="auto"/>
        </w:rPr>
        <w:t>4.6</w:t>
      </w:r>
      <w:r>
        <w:rPr>
          <w:rFonts w:hint="eastAsia"/>
          <w:color w:val="auto"/>
        </w:rPr>
        <w:tab/>
      </w:r>
      <w:r>
        <w:rPr>
          <w:rFonts w:hint="eastAsia"/>
          <w:color w:val="auto"/>
        </w:rPr>
        <w:t>5.0</w:t>
      </w:r>
    </w:p>
    <w:p>
      <w:pPr>
        <w:jc w:val="left"/>
        <w:rPr>
          <w:rFonts w:hint="eastAsia"/>
          <w:color w:val="auto"/>
        </w:rPr>
      </w:pPr>
      <w:r>
        <w:rPr>
          <w:rFonts w:hint="eastAsia"/>
          <w:color w:val="auto"/>
        </w:rPr>
        <w:t>20:30</w:t>
      </w:r>
      <w:r>
        <w:rPr>
          <w:rFonts w:hint="eastAsia"/>
          <w:color w:val="auto"/>
        </w:rPr>
        <w:tab/>
      </w:r>
      <w:r>
        <w:rPr>
          <w:rFonts w:hint="eastAsia"/>
          <w:color w:val="auto"/>
        </w:rPr>
        <w:t>美国3月PCE物价指数年率(%)</w:t>
      </w:r>
      <w:r>
        <w:rPr>
          <w:rFonts w:hint="eastAsia"/>
          <w:color w:val="auto"/>
        </w:rPr>
        <w:tab/>
      </w:r>
      <w:r>
        <w:rPr>
          <w:rFonts w:hint="eastAsia"/>
          <w:color w:val="auto"/>
        </w:rPr>
        <w:t>6.4</w:t>
      </w:r>
      <w:r>
        <w:rPr>
          <w:rFonts w:hint="eastAsia"/>
          <w:color w:val="auto"/>
        </w:rPr>
        <w:tab/>
      </w:r>
      <w:r>
        <w:rPr>
          <w:rFonts w:hint="eastAsia"/>
          <w:color w:val="auto"/>
        </w:rPr>
        <w:t>6.7</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美国3月核心PCE物价指数年率(%)</w:t>
      </w:r>
      <w:r>
        <w:rPr>
          <w:rFonts w:hint="eastAsia"/>
          <w:color w:val="auto"/>
        </w:rPr>
        <w:tab/>
      </w:r>
      <w:r>
        <w:rPr>
          <w:rFonts w:hint="eastAsia"/>
          <w:color w:val="auto"/>
        </w:rPr>
        <w:t>5.4</w:t>
      </w:r>
      <w:r>
        <w:rPr>
          <w:rFonts w:hint="eastAsia"/>
          <w:color w:val="auto"/>
        </w:rPr>
        <w:tab/>
      </w:r>
      <w:r>
        <w:rPr>
          <w:rFonts w:hint="eastAsia"/>
          <w:color w:val="auto"/>
        </w:rPr>
        <w:t>5.5</w:t>
      </w:r>
    </w:p>
    <w:p>
      <w:pPr>
        <w:jc w:val="left"/>
        <w:rPr>
          <w:rFonts w:hint="eastAsia"/>
          <w:color w:val="auto"/>
        </w:rPr>
      </w:pPr>
      <w:r>
        <w:rPr>
          <w:rFonts w:hint="eastAsia"/>
          <w:color w:val="auto"/>
        </w:rPr>
        <w:t>21:45</w:t>
      </w:r>
      <w:r>
        <w:rPr>
          <w:rFonts w:hint="eastAsia"/>
          <w:color w:val="auto"/>
        </w:rPr>
        <w:tab/>
      </w:r>
      <w:r>
        <w:rPr>
          <w:rFonts w:hint="eastAsia"/>
          <w:color w:val="auto"/>
        </w:rPr>
        <w:t>美国4月芝加哥PMI</w:t>
      </w:r>
      <w:r>
        <w:rPr>
          <w:rFonts w:hint="eastAsia"/>
          <w:color w:val="auto"/>
        </w:rPr>
        <w:tab/>
      </w:r>
      <w:r>
        <w:rPr>
          <w:rFonts w:hint="eastAsia"/>
          <w:color w:val="auto"/>
        </w:rPr>
        <w:t>62.9</w:t>
      </w:r>
      <w:r>
        <w:rPr>
          <w:rFonts w:hint="eastAsia"/>
          <w:color w:val="auto"/>
        </w:rPr>
        <w:tab/>
      </w:r>
      <w:r>
        <w:rPr>
          <w:rFonts w:hint="eastAsia"/>
          <w:color w:val="auto"/>
        </w:rPr>
        <w:t>61</w:t>
      </w:r>
    </w:p>
    <w:p>
      <w:pPr>
        <w:jc w:val="left"/>
        <w:rPr>
          <w:rFonts w:hint="eastAsia"/>
          <w:color w:val="auto"/>
        </w:rPr>
      </w:pPr>
      <w:r>
        <w:rPr>
          <w:rFonts w:hint="eastAsia"/>
          <w:color w:val="auto"/>
        </w:rPr>
        <w:t>22:00</w:t>
      </w:r>
      <w:r>
        <w:rPr>
          <w:rFonts w:hint="eastAsia"/>
          <w:color w:val="auto"/>
        </w:rPr>
        <w:tab/>
      </w:r>
      <w:r>
        <w:rPr>
          <w:rFonts w:hint="eastAsia"/>
          <w:color w:val="auto"/>
        </w:rPr>
        <w:t>美国4月密歇根大学消费者信心指数终值</w:t>
      </w:r>
      <w:r>
        <w:rPr>
          <w:rFonts w:hint="eastAsia"/>
          <w:color w:val="auto"/>
        </w:rPr>
        <w:tab/>
      </w:r>
      <w:r>
        <w:rPr>
          <w:rFonts w:hint="eastAsia"/>
          <w:color w:val="auto"/>
        </w:rPr>
        <w:t>65.7</w:t>
      </w:r>
      <w:r>
        <w:rPr>
          <w:rFonts w:hint="eastAsia"/>
          <w:color w:val="auto"/>
        </w:rPr>
        <w:tab/>
      </w:r>
      <w:r>
        <w:rPr>
          <w:rFonts w:hint="eastAsia"/>
          <w:color w:val="auto"/>
        </w:rPr>
        <w:t>65.7</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28日股指未能强力反攻，截止收盘，沪指涨0.55%，深成指跌0.23%，创业板指跌1.83%。北向资金全天净卖出6.37亿元。</w:t>
      </w:r>
    </w:p>
    <w:p>
      <w:pPr>
        <w:jc w:val="left"/>
        <w:rPr>
          <w:rFonts w:hint="eastAsia" w:eastAsia="宋体"/>
          <w:color w:val="auto"/>
          <w:lang w:val="en-US" w:eastAsia="zh-CN"/>
        </w:rPr>
      </w:pPr>
      <w:r>
        <w:rPr>
          <w:rFonts w:hint="eastAsia"/>
          <w:color w:val="auto"/>
        </w:rPr>
        <w:t xml:space="preserve">    经济增长的压力依旧对市场有抑制，在政策托底以及货币宽松周期的支撑下，市场整体还是震荡筑底的过程。鉴于假期已近，减轻持仓为宜</w:t>
      </w:r>
      <w:r>
        <w:rPr>
          <w:rFonts w:hint="eastAsia"/>
          <w:color w:val="auto"/>
          <w:lang w:eastAsia="zh-CN"/>
        </w:rPr>
        <w:t>。</w:t>
      </w: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jc w:val="both"/>
        <w:rPr>
          <w:rFonts w:ascii="黑体" w:eastAsia="黑体" w:cs="宋体"/>
          <w:color w:val="auto"/>
          <w:szCs w:val="21"/>
        </w:rPr>
      </w:pP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涨于103.67部位；人民币离岸价收贬于6.654。欧美股市收涨。美科技股业绩提振成长股板块领涨，抵消了对一季度增长数据变缓的担忧。美原油上涨，盘中触及每桶104美元日高；布伦特原油上涨近2美元，刷新日高至106.33美元。供应担忧暂时对市场影响更大。芝加哥(CBOT)大豆收低，受压于因玉米播种延误，大豆种植面积将高于当前的预期。豆油升至每磅86.69美分的纪录新高，因市场聚焦全球食用油供应忧虑，此前全球最大的棕榈油出口国印尼出人意料地决定扩大棕榈油出口禁令的范围，将食用油原材料也包括在内。CBOT7月大豆收跌8美分，结算价报每蒲式耳16.84-3/4美元。7月豆粕下跌10.90美元，结算价报每短吨430.10美元。7月豆油上涨1.88美分，结算价报每磅86.6美分。但有分析师称，鉴于存储能力有限，出口收入减少，预计印尼不会长期维持这一旨在抑制国内价格的措施。印尼棕榈油局高级官员Sahat Sinaga周四表示，5月初穆斯林开斋节过后不久，印尼应该能够解决该国的食用油短缺问题。StoneX大宗商品风险经理Matt Ammermann表示，“美国种植出现问题。天气又冷又湿，市场正面临一些额外风险。”美国农业部周四公布的出口销售报告显示，4月21日止当周，美国2021/2022市场年度大豆出口销售净增48.13万吨，较之前一周增加5%，较前四周均值减少37%，市场预估为净增25-80万吨。当周，美国2022/2023市场年度大豆出口销售净增58万吨，市场预估为净增25-75万吨。当周，美国大豆出口装船71.09万吨，较之前一周减少20%，较前四周均值减少10%。其中向中国大陆出口装船27.99万吨。数据还显示，4月21日止当周，美国2021/2022市场年度豆油出口销售净增3,500吨，较前一周显著增加，但较前四周均值减少69%，市场预估为净增0-2.4万吨。</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框架如前，美豆延续高位区间波动。油粕比持坚支撑豆价打压粕价。大连盘被动跟随。9月油粕比在2.83；粕5－9逆差在107点。粕9日内看4000－4050的波动，宜灵活。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w:t>
            </w:r>
            <w:r>
              <w:rPr>
                <w:rFonts w:hint="eastAsia"/>
                <w:b/>
                <w:color w:val="FF0000"/>
                <w:lang w:eastAsia="zh-CN"/>
              </w:rPr>
              <w:t>产品部</w:t>
            </w:r>
            <w:r>
              <w:rPr>
                <w:rFonts w:hint="eastAsia"/>
                <w:b/>
                <w:color w:val="auto"/>
                <w:lang w:eastAsia="zh-CN"/>
              </w:rPr>
              <w:t>）</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传言印度棉禁止出口、美棉签约数据有所恢复，美棉种植区干旱，美棉ONcall数量高位，以上因素助推美棉涨停收盘，7月最新价格147美分。周四郑棉跟涨，夜盘未跟涨，9月最新价格21515元。外盘资讯：美国EMOT M到港价156.75分/磅（+4.7）；印度S-6 1-1/8到港价164美分/磅（+0）；巴西M到港价158.2美分/磅（+3）。4.15-4.21日一周美国2021/22年度陆地棉净签约27488吨（含签约30844吨，取消前期签约3356吨），较前一周大幅增加140%，较近四周平均增加19%；装运2021/22 年度陆地棉87543吨，较前一周增加5%，较近四周平均增加4%。国内资讯：棉花现货指数CCI3128B报价至22357元/吨（+3），期现价差-802（09合约收盘价-现货价），涤纶短纤报价7770元/吨(+0)，黏胶短纤报价14220元/吨（+70）；CY Index C32S报价28680元/吨（+0），FCY Index C32S(进口棉纱价格指数)报价32972元/吨（+126）；郑棉仓单16000张（-30），有效预报1255（+38）。本周棉花贸易商反映出货量有所增加，主要原因是一些纱厂库存太低，面临不得不补库的情况。广东市场有少量布厂已经开始放假了，整体成交依然冷清，预计复工时间在4号左右。目前询价的以秋冬订单为主，还没有明显起量。但有布行认为5月份可能相比4月略有好转，少数大布厂有计划节后上调开机。截止4月15日，全国累计加工580万吨，累计销售274万吨，同比减少254万吨，较五年均值减少165万吨。综上，印度禁止棉花出口的传言助推美棉涨停；国内五一假期来临，下游消费预期节后有所好转，当前全国棉花累计销售量47%，严重低于同期，销售压力不能忽视。</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操作上，短多注意兑利，假期空仓；中长线空单可适当减仓，轻仓持仓过节。</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FF0000"/>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钢材周四价格窄幅震荡，螺纹2210合约收于4820，热卷2210合约收于4923。现货方面，28日唐山普方坯出厂价报4740（平），上海地区螺纹钢现货价格(HRB400 20mm)4990元（平），热卷现货价格(4.75mm)4970元（平）。</w:t>
            </w:r>
          </w:p>
          <w:p>
            <w:pPr>
              <w:widowControl/>
              <w:suppressAutoHyphens w:val="0"/>
              <w:ind w:firstLine="630" w:firstLineChars="300"/>
              <w:jc w:val="left"/>
              <w:rPr>
                <w:rFonts w:hint="eastAsia"/>
                <w:color w:val="auto"/>
              </w:rPr>
            </w:pPr>
            <w:r>
              <w:rPr>
                <w:rFonts w:hint="eastAsia"/>
                <w:color w:val="auto"/>
              </w:rPr>
              <w:t>机构数据显示，截至4月28日，已有13个城市完成2022年首轮集中土拍，共揽金约3001.85亿元，平均溢价率为4.61%。业内人士表示，首轮集中土拍各城市间的热度分化愈加明显，商品房库存量偏高、去化压力偏大的城市，房企拿地相对谨慎。</w:t>
            </w:r>
          </w:p>
          <w:p>
            <w:pPr>
              <w:widowControl/>
              <w:suppressAutoHyphens w:val="0"/>
              <w:ind w:firstLine="630" w:firstLineChars="300"/>
              <w:jc w:val="left"/>
              <w:rPr>
                <w:rFonts w:hint="eastAsia"/>
                <w:color w:val="auto"/>
              </w:rPr>
            </w:pPr>
            <w:r>
              <w:rPr>
                <w:rFonts w:hint="eastAsia"/>
                <w:color w:val="auto"/>
              </w:rPr>
              <w:t>据Mysteel数据，本周钢材总库存量2261.12万吨，周环比减少41.77万吨。其中，钢厂库存量688.20万吨，周环比增加3.84万吨；社会库存量1572.92万吨，周环比减少45.61万吨。</w:t>
            </w:r>
          </w:p>
          <w:p>
            <w:pPr>
              <w:widowControl/>
              <w:suppressAutoHyphens w:val="0"/>
              <w:ind w:firstLine="630" w:firstLineChars="300"/>
              <w:jc w:val="left"/>
              <w:rPr>
                <w:rFonts w:hint="eastAsia"/>
                <w:color w:val="auto"/>
              </w:rPr>
            </w:pPr>
            <w:r>
              <w:rPr>
                <w:rFonts w:hint="eastAsia"/>
                <w:color w:val="auto"/>
              </w:rPr>
              <w:t xml:space="preserve"> 唐山126座高炉中有60座检修（含长期停产），检修高炉容积合计42210m³；周影响产量约96.66万吨，周度产能利用率为69.6%，周环比上升0.07%，月环比上升2.23%，年同比上升7.79%。</w:t>
            </w:r>
          </w:p>
          <w:p>
            <w:pPr>
              <w:widowControl/>
              <w:suppressAutoHyphens w:val="0"/>
              <w:ind w:firstLine="630" w:firstLineChars="300"/>
              <w:jc w:val="left"/>
              <w:rPr>
                <w:rFonts w:hint="eastAsia"/>
                <w:color w:val="auto"/>
              </w:rPr>
            </w:pPr>
            <w:r>
              <w:rPr>
                <w:rFonts w:hint="eastAsia"/>
                <w:color w:val="auto"/>
              </w:rPr>
              <w:t>本周，40家独立电弧炉建筑钢材钢厂平均成本为5030元/吨，环比上周下降42元/吨。平均利润为-3元/吨，谷电利润为101元/吨，环比上周降32元/吨。</w:t>
            </w:r>
          </w:p>
          <w:p>
            <w:pPr>
              <w:widowControl/>
              <w:suppressAutoHyphens w:val="0"/>
              <w:ind w:firstLine="630" w:firstLineChars="300"/>
              <w:jc w:val="left"/>
              <w:rPr>
                <w:rFonts w:hint="eastAsia" w:eastAsia="宋体"/>
                <w:color w:val="auto"/>
                <w:lang w:val="en-US" w:eastAsia="zh-CN"/>
              </w:rPr>
            </w:pPr>
            <w:r>
              <w:rPr>
                <w:rFonts w:hint="eastAsia"/>
                <w:color w:val="auto"/>
              </w:rPr>
              <w:t>本周钢材产量环比持稳微降，钢材周度消费增加，库存延续去化，节前备货在一定程度上帮助了当前库存下行。整体来看，后续市场将逐步回归到钢材真实供需的逻辑上，供应端由于当前长短流程偏弱的利润，产量恢复有限，需求端考虑到房地产仍未止跌同时国内疫情的影响仍在，需求端阶段性的弱势可以预见。</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五一假期前建议减少仓位，空仓过节。后续关注疫情控制后的需求真实水平。</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FF0000"/>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rPr>
              <w:t xml:space="preserve">   </w:t>
            </w:r>
            <w:r>
              <w:rPr>
                <w:rFonts w:hint="eastAsia"/>
                <w:color w:val="auto"/>
                <w:lang w:val="en-US" w:eastAsia="zh-CN"/>
              </w:rPr>
              <w:t xml:space="preserve">   昨日进口铁矿港口现货全天价格上涨10-26。现青岛港PB粉958涨18，超特粉738涨18；曹妃甸港PB粉955涨18，超特粉735涨15；天津港PB粉976涨18，麦克粉953涨10；江内港PB粉1030涨26，超特粉770涨16；鲅鱼圈港PB粉1008涨17；防城港港PB粉974涨19。</w:t>
            </w:r>
          </w:p>
          <w:p>
            <w:pPr>
              <w:widowControl/>
              <w:suppressAutoHyphens w:val="0"/>
              <w:jc w:val="left"/>
              <w:rPr>
                <w:rFonts w:hint="eastAsia"/>
                <w:color w:val="auto"/>
                <w:lang w:val="en-US" w:eastAsia="zh-CN"/>
              </w:rPr>
            </w:pPr>
            <w:r>
              <w:rPr>
                <w:rFonts w:hint="eastAsia"/>
                <w:color w:val="auto"/>
                <w:lang w:val="en-US" w:eastAsia="zh-CN"/>
              </w:rPr>
              <w:t xml:space="preserve">      4月28日，Mysteel统计新口径114家钢厂进口烧结粉总库存3377.81万吨，烧结粉总日耗114.66万吨。原口径64家钢厂进口烧结粉总库存1634.93万吨，烧结粉总日耗55.35万吨，库存消费比29.54，烧结矿中平均使用进口矿配比86.37%，</w:t>
            </w:r>
          </w:p>
          <w:p>
            <w:pPr>
              <w:widowControl/>
              <w:suppressAutoHyphens w:val="0"/>
              <w:jc w:val="left"/>
              <w:rPr>
                <w:rFonts w:hint="eastAsia" w:eastAsia="宋体"/>
                <w:color w:val="auto"/>
                <w:lang w:val="en-US" w:eastAsia="zh-CN"/>
              </w:rPr>
            </w:pPr>
            <w:r>
              <w:rPr>
                <w:rFonts w:hint="eastAsia"/>
                <w:color w:val="auto"/>
                <w:lang w:val="en-US" w:eastAsia="zh-CN"/>
              </w:rPr>
              <w:t xml:space="preserve">      铁矿石价格震荡运行，近期市场政策强预期预期受到疫情和政策影响有所反复，现实面来看，旺季终端需求持续疲弱对市场的压制作用依然明显，5月份上海疫情逐步缓解后需求恢复不及预期的可能性依然较大，后期需要看到终端需求的现实改善和进一步政策的落地，才能形成进一步驱动力，在实际需求未改善前，矿石将震荡偏弱运行。</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短线操作，空仓过节。</w:t>
            </w:r>
          </w:p>
          <w:p>
            <w:pPr>
              <w:rPr>
                <w:rFonts w:hint="eastAsia"/>
                <w:b/>
                <w:color w:val="auto"/>
                <w:lang w:eastAsia="zh-CN"/>
              </w:rPr>
            </w:pPr>
          </w:p>
          <w:p>
            <w:pPr>
              <w:rPr>
                <w:rFonts w:hint="eastAsia"/>
                <w:b/>
                <w:color w:val="auto"/>
                <w:lang w:eastAsia="zh-CN"/>
              </w:rPr>
            </w:pPr>
            <w:r>
              <w:rPr>
                <w:rFonts w:hint="eastAsia"/>
                <w:b/>
                <w:color w:val="auto"/>
                <w:lang w:eastAsia="zh-CN"/>
              </w:rPr>
              <w:t>(</w:t>
            </w:r>
            <w:r>
              <w:rPr>
                <w:rFonts w:hint="eastAsia"/>
                <w:b/>
                <w:color w:val="FF0000"/>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现货市场，双焦持稳运行，节后有下调预期。山西介休1.3硫主焦2900元/吨，蒙5金泉提货价3000元/吨；吕梁准一出厂价3750元/吨，唐山二级焦到厂价3850元/吨，青岛港准一焦平仓价4000元/吨。</w:t>
            </w:r>
          </w:p>
          <w:p>
            <w:pPr>
              <w:widowControl/>
              <w:suppressAutoHyphens w:val="0"/>
              <w:ind w:firstLine="630" w:firstLineChars="300"/>
              <w:jc w:val="left"/>
              <w:rPr>
                <w:rFonts w:hint="eastAsia"/>
                <w:color w:val="auto"/>
              </w:rPr>
            </w:pPr>
            <w:r>
              <w:rPr>
                <w:rFonts w:hint="eastAsia"/>
                <w:color w:val="auto"/>
              </w:rPr>
              <w:t>财政部公告，为加强能源供应保障，推进高质量发展，国务院关税税则委员会近日发布公告，自2022年5月1日至2023年3月31日，对所有煤炭实施税率为零的进口暂定税率。据Mysteel测算，从影响成本来看，实施零关税动力煤成本降低约60元/吨。炼焦煤成本降低72元/吨。但在汇率影响下，成本基本抵消实施零关税带来的成本下降。</w:t>
            </w:r>
          </w:p>
          <w:p>
            <w:pPr>
              <w:widowControl/>
              <w:suppressAutoHyphens w:val="0"/>
              <w:ind w:firstLine="630" w:firstLineChars="300"/>
              <w:jc w:val="left"/>
              <w:rPr>
                <w:rFonts w:hint="eastAsia"/>
                <w:color w:val="auto"/>
              </w:rPr>
            </w:pPr>
            <w:r>
              <w:rPr>
                <w:rFonts w:hint="eastAsia"/>
                <w:color w:val="auto"/>
              </w:rPr>
              <w:t>受钢厂补库影响，本周焦炭库存继续下滑。独立焦企库存107.2万吨，减29.6，钢厂焦炭库存654.4万吨，增16.3，港口焦炭库存296万吨，减1。</w:t>
            </w:r>
          </w:p>
          <w:p>
            <w:pPr>
              <w:widowControl/>
              <w:suppressAutoHyphens w:val="0"/>
              <w:ind w:firstLine="630" w:firstLineChars="300"/>
              <w:jc w:val="left"/>
              <w:rPr>
                <w:rFonts w:hint="eastAsia"/>
                <w:color w:val="auto"/>
              </w:rPr>
            </w:pPr>
            <w:r>
              <w:rPr>
                <w:rFonts w:hint="eastAsia"/>
                <w:color w:val="auto"/>
              </w:rPr>
              <w:t>本周焦煤库存小幅增加。独立焦企焦炭库存，1221.9万吨，增26.6，钢厂焦企焦煤库存832.2万吨，增11.5，港口焦煤库存568.8万吨，减6.5。</w:t>
            </w:r>
          </w:p>
          <w:p>
            <w:pPr>
              <w:widowControl/>
              <w:suppressAutoHyphens w:val="0"/>
              <w:ind w:firstLine="630" w:firstLineChars="300"/>
              <w:jc w:val="left"/>
              <w:rPr>
                <w:rFonts w:hint="default" w:eastAsia="宋体"/>
                <w:color w:val="auto"/>
                <w:lang w:val="en-US" w:eastAsia="zh-CN"/>
              </w:rPr>
            </w:pPr>
            <w:r>
              <w:rPr>
                <w:rFonts w:hint="eastAsia"/>
                <w:color w:val="auto"/>
              </w:rPr>
              <w:t>近期双焦供应有所回升，但终端需求持续偏低限制生铁产量回升空间，供求紧张缓解，库存有回升可能，如五一之后终端需求仍旧低位运行，双焦现货有回调可能；同时近期市场担忧疫情缓解后终端需求不及预期的风险，负反馈逻辑下，双焦承压回调。</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短期盘面仍旧承压运行，关注临近60天线支撑力度及终端需求恢复进度。</w:t>
            </w:r>
          </w:p>
          <w:p>
            <w:pPr>
              <w:rPr>
                <w:rFonts w:hint="eastAsia"/>
                <w:b/>
                <w:color w:val="auto"/>
                <w:lang w:eastAsia="zh-CN"/>
              </w:rPr>
            </w:pPr>
          </w:p>
          <w:p>
            <w:pPr>
              <w:rPr>
                <w:b/>
                <w:color w:val="auto"/>
                <w:lang w:eastAsia="zh-CN"/>
              </w:rPr>
            </w:pPr>
            <w:r>
              <w:rPr>
                <w:rFonts w:hint="eastAsia"/>
                <w:b/>
                <w:color w:val="FF0000"/>
                <w:lang w:eastAsia="zh-CN"/>
              </w:rPr>
              <w:t>（李岩</w:t>
            </w:r>
            <w:r>
              <w:rPr>
                <w:rFonts w:hint="eastAsia"/>
                <w:b/>
                <w:color w:val="auto"/>
                <w:lang w:eastAsia="zh-CN"/>
              </w:rPr>
              <w:t>）</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偏强运行，沪铝主力月2206合约收至20915元/吨，涨205元，涨幅0.99%。现货方面，28日长江现货成交价格20820-20860元/吨，涨110元，贴水50-贴水10；广东南储报20870-20930元/吨，涨60元，贴水10-贴水70；华通报20880-20920元/吨，涨120元。假期临近，持货商普遍抛售换现，下游按需备库，不过交投氛围偏弱，整体成交不佳。</w:t>
            </w:r>
          </w:p>
          <w:p>
            <w:pPr>
              <w:widowControl/>
              <w:suppressAutoHyphens w:val="0"/>
              <w:ind w:firstLine="630" w:firstLineChars="300"/>
              <w:jc w:val="left"/>
              <w:rPr>
                <w:rFonts w:hint="eastAsia"/>
                <w:color w:val="auto"/>
                <w:lang w:val="en-US" w:eastAsia="zh-CN"/>
              </w:rPr>
            </w:pPr>
            <w:r>
              <w:rPr>
                <w:rFonts w:hint="eastAsia"/>
                <w:color w:val="auto"/>
                <w:lang w:val="en-US" w:eastAsia="zh-CN"/>
              </w:rPr>
              <w:t>28日，SMM统计国内电解铝社会库存98.7万吨，较上周四库存减少3.4万吨，同比去年同期下降12.8万吨，同比降幅11%。电解铝库存整体处于低位，且降库趋势不改。本周铝下游龙头加工企业开工率环比小增0.3个百分点至64.8%。下游运输及需求改善不大，开工小幅回升，仍不及往年同期水平。</w:t>
            </w:r>
          </w:p>
          <w:p>
            <w:pPr>
              <w:widowControl/>
              <w:suppressAutoHyphens w:val="0"/>
              <w:ind w:firstLine="630" w:firstLineChars="300"/>
              <w:jc w:val="left"/>
              <w:rPr>
                <w:color w:val="auto"/>
              </w:rPr>
            </w:pPr>
            <w:r>
              <w:rPr>
                <w:rFonts w:hint="eastAsia"/>
                <w:color w:val="auto"/>
                <w:lang w:val="en-US" w:eastAsia="zh-CN"/>
              </w:rPr>
              <w:t>俄乌冲突下俄罗斯面临欧盟以及其他北约国家新一轮制裁，俄铝向外出口受阻，欧洲天然气再度飙升，欧洲铝企减产预期仍存，海外供应忧虑持续。国内云南、广西等地电解铝复产及新增产能投产提速，产量有望赶超去年同期。下游华东地区疫情未得到缓解，部分企业被迫减产，需求暂无明显好转迹象。美联储持续释放鹰派信号，美元高涨，宏观氛围偏空，铝价上方依旧承压。</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建议谨慎操作，观望为主。</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有色组</w:t>
            </w:r>
            <w:r>
              <w:rPr>
                <w:rFonts w:hint="eastAsia"/>
                <w:b/>
                <w:color w:val="auto"/>
                <w:lang w:eastAsia="zh-CN"/>
              </w:rPr>
              <w:t>）</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欧美股市继续反弹，国内股市保持短暂企稳的态势，有利于国内外金融市场情绪的稳定。昨日央行设立科技创新再贷款，额度为2000亿元，临近假期，市场对国内货币和财政政策方面依旧有期待。昨日国内工业品期货指数继续反弹，化工板块表现较强，对胶价带来一定的利多情绪提振。行业方面，当前泰国依旧处于低产期，不过东北部已经陆续试割，昨日泰国原料价格继续小幅回落为主，国内云南胶水收购价小幅回落，部分地区制干胶胶水价格已经跌破11块，逐步进入成本区间。本周中国半钢胎样本企业开工率为65.96%，环比-1.16%，同比-4.10%。中国半钢胎样本企业开工率小幅走低，部分山东地区样本企业“五一”假期存检修计划，个别企业提前进入放假前的准备工作，开工略有走低，对样本企业整体开工形成一定拖累。昨日国内然橡胶现货价格小幅下跌（全乳胶12375元/吨，-50/-0.4%；20号泰标1640美元/吨，-20/-1.2%，折合人民币10763元/吨；20号泰混12350元/吨，-100/-0.8%）。</w:t>
            </w:r>
          </w:p>
          <w:p>
            <w:pPr>
              <w:widowControl/>
              <w:suppressAutoHyphens w:val="0"/>
              <w:ind w:firstLine="630" w:firstLineChars="300"/>
              <w:jc w:val="left"/>
              <w:rPr>
                <w:rFonts w:hint="eastAsia" w:eastAsia="宋体"/>
                <w:color w:val="auto"/>
                <w:lang w:eastAsia="zh-CN"/>
              </w:rPr>
            </w:pPr>
            <w:r>
              <w:rPr>
                <w:rFonts w:hint="eastAsia"/>
                <w:color w:val="auto"/>
              </w:rPr>
              <w:t>技术面：昨日RU2209保持低位震荡的局面，夜盘空头离场明显，胶价震荡偏强，不过依旧未能触碰上方12800-12900的压力带。昨日整体RU多空持仓继续下降，不利于胶价的波动，下方支撑保持在12500-12600。</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操作建议：临近假期，保持日内轻仓交易为主或观望。</w:t>
            </w:r>
          </w:p>
          <w:p>
            <w:pPr>
              <w:rPr>
                <w:rFonts w:hint="eastAsia"/>
                <w:b/>
                <w:color w:val="auto"/>
                <w:lang w:eastAsia="zh-CN"/>
              </w:rPr>
            </w:pPr>
          </w:p>
          <w:p>
            <w:pPr>
              <w:rPr>
                <w:b/>
                <w:color w:val="auto"/>
                <w:lang w:eastAsia="zh-CN"/>
              </w:rPr>
            </w:pPr>
            <w:r>
              <w:rPr>
                <w:rFonts w:hint="eastAsia"/>
                <w:b/>
                <w:color w:val="auto"/>
                <w:lang w:eastAsia="zh-CN"/>
              </w:rPr>
              <w:t>（王</w:t>
            </w:r>
            <w:r>
              <w:rPr>
                <w:rFonts w:hint="eastAsia"/>
                <w:b/>
                <w:color w:val="FF0000"/>
                <w:lang w:eastAsia="zh-CN"/>
              </w:rPr>
              <w:t>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有数据显示，2月份德国从挪威进口的原油攀升至2019年8月以来的最高水平。2月份德国进口原油680万吨，比去年同期增长24%，但比1月份月有所减少，1月份德国原油进口量为700万吨。2月份德国从挪威的进口由1月份的76.9万吨万升至95.1万吨；从美国进口的原油由1月份的97.2万吨降至82.9万吨，为去年10月以来的最低水平。美国能源信息署（EIA）公布上周原油及原油制成品库存数据后，原油期货价格获得了一些支撑。EIA报告称，美国上周原油库存增加70万桶，汽油库存减少160万桶，馏分油库存减少140万桶。市场预计汽油库存增加10万桶、馏分油库存减少10万桶。EIA报告显示，美国上周原油出口减少54.9万桶/日至372.1万桶/日。上周美国国内原油产量减少0万桶至1190万桶/日。美国上周战略石油储备(SPR)库存减少291.0万桶至5.531亿桶，降幅0.52%。美国原油产品四周平均供应量为1936万桶/日，较去年同期减少1.6%。美国石油协会（API）公布数据显示，美国至4月22日当周API原油库存增加478.4万桶，预期增加216.7万桶，前值减少449.6万桶。4月26日数据，由于疫情，中国原油加工量将在4月份达到两年来的最低点，四大国有炼厂4月份的运行率降至76.4%，至4月20日，山东地炼开工降至50.1%的两年低点。伊朗外交部发言人表示，重启谈判以挽救2015年的核协议可能迫在眉睫，并表示中断“不符合任何一方的利益”。预计美国原油库存将出现季节性上涨，但炼油需求强劲。至4月22日当周，美湾PlattsULSD与WTI的裂解价差平均接近50美元/桶。</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操作建议:美国原油库存增幅远低于预期，另外局部地缘局势令全球供应紧张状态持续，欧美原油期货继续上涨。6月WTI涨3.34报105.36美元/桶，涨幅3.3%；6月布伦特涨2.27报107.59美元/桶，涨幅2.2%。</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操作思路以震荡偏空为主，关注布伦特原油震荡区间95-110美元/桶，注意止盈止损。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FF0000"/>
                <w:lang w:val="en-US" w:eastAsia="zh-CN"/>
              </w:rPr>
              <w:t>黄世俊</w:t>
            </w:r>
            <w:r>
              <w:rPr>
                <w:rFonts w:hint="eastAsia"/>
                <w:b/>
                <w:color w:val="FF0000"/>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8D7779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C70303"/>
    <w:rsid w:val="1F7E29BD"/>
    <w:rsid w:val="20970D76"/>
    <w:rsid w:val="226C1608"/>
    <w:rsid w:val="227E57F8"/>
    <w:rsid w:val="227F224C"/>
    <w:rsid w:val="23F270CF"/>
    <w:rsid w:val="2A7A4984"/>
    <w:rsid w:val="2B252FF2"/>
    <w:rsid w:val="2D8D3BC9"/>
    <w:rsid w:val="31EC1213"/>
    <w:rsid w:val="321D62B5"/>
    <w:rsid w:val="341F7FC4"/>
    <w:rsid w:val="353D5E3C"/>
    <w:rsid w:val="358935BB"/>
    <w:rsid w:val="36AB3BBE"/>
    <w:rsid w:val="384D33C8"/>
    <w:rsid w:val="3CF13880"/>
    <w:rsid w:val="406C6812"/>
    <w:rsid w:val="40A56BD2"/>
    <w:rsid w:val="41A00C7B"/>
    <w:rsid w:val="424E1F35"/>
    <w:rsid w:val="426E1857"/>
    <w:rsid w:val="430419B8"/>
    <w:rsid w:val="442D0F38"/>
    <w:rsid w:val="4A29450B"/>
    <w:rsid w:val="4A2A5B0A"/>
    <w:rsid w:val="4B25247A"/>
    <w:rsid w:val="4CDB5F58"/>
    <w:rsid w:val="4D9E7DC0"/>
    <w:rsid w:val="4DA0349C"/>
    <w:rsid w:val="4FCE0CA2"/>
    <w:rsid w:val="4FFF16B7"/>
    <w:rsid w:val="501C1047"/>
    <w:rsid w:val="509328D4"/>
    <w:rsid w:val="5132643B"/>
    <w:rsid w:val="526922B9"/>
    <w:rsid w:val="53B809A0"/>
    <w:rsid w:val="578723B2"/>
    <w:rsid w:val="58CF0924"/>
    <w:rsid w:val="5B922A05"/>
    <w:rsid w:val="5CDE1F17"/>
    <w:rsid w:val="5FAE7A14"/>
    <w:rsid w:val="60593F12"/>
    <w:rsid w:val="66714647"/>
    <w:rsid w:val="66CC74E1"/>
    <w:rsid w:val="73C8743F"/>
    <w:rsid w:val="7A3D7229"/>
    <w:rsid w:val="7A857A1E"/>
    <w:rsid w:val="7A8C2DBA"/>
    <w:rsid w:val="7B9137A7"/>
    <w:rsid w:val="7C086E1A"/>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13</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2022-04-29T00:42:19Z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