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6月30</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bookmarkStart w:id="0" w:name="_GoBack"/>
      <w:bookmarkEnd w:id="0"/>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美国商务部经济分析局（BEA）数据显示，美国一季度实际GDP年化季环比终值-1.6%，较5月份公布的第二次预估下调了0.1个百分点。而2021年第四季度为正增长6.9%。</w:t>
      </w:r>
    </w:p>
    <w:p>
      <w:pPr>
        <w:jc w:val="left"/>
        <w:rPr>
          <w:rFonts w:hint="eastAsia"/>
          <w:color w:val="auto"/>
        </w:rPr>
      </w:pPr>
      <w:r>
        <w:rPr>
          <w:rFonts w:hint="eastAsia"/>
          <w:color w:val="auto"/>
        </w:rPr>
        <w:t>2  欧洲央行行长拉加德重申7月加息25个基点的态度。但比起此前的言论，拉加德对于抗击通胀的措辞更为强硬，其表示，欧洲央行将以“坚定而持续的方式”采取行动，应对欧元区创纪录的通胀，特别是如果有迹象表明消费者和企业的通胀预期急剧上升。</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中国央行发布货币政策委员会2022年第二季度例会的通稿。与今年一季度例会措辞相比，在分析国内外经济金融形势时，央行将“经济发展和疫情防控保持全球领先地位”调整为“最大程度稳住经济社会发展基本盘”，将“国外疫情持续”调整为“全球经济增长放缓、通胀高位运行”，将“国内疫情发生频次有所增多”调整为“防控形势总体向好但任务仍然艰巨”。</w:t>
      </w:r>
    </w:p>
    <w:p>
      <w:pPr>
        <w:jc w:val="left"/>
        <w:rPr>
          <w:rFonts w:hint="eastAsia"/>
          <w:color w:val="auto"/>
        </w:rPr>
      </w:pPr>
      <w:r>
        <w:rPr>
          <w:rFonts w:hint="eastAsia"/>
          <w:color w:val="auto"/>
        </w:rPr>
        <w:t>2  财政部、发改委：当国际市场原油价格高于国家规定的成品油价格调控上限时，对炼油企业实行阶段性价格补贴</w:t>
      </w:r>
    </w:p>
    <w:p>
      <w:pPr>
        <w:jc w:val="left"/>
        <w:rPr>
          <w:rFonts w:hint="eastAsia"/>
          <w:color w:val="auto"/>
        </w:rPr>
      </w:pPr>
      <w:r>
        <w:rPr>
          <w:rFonts w:hint="eastAsia"/>
          <w:color w:val="auto"/>
        </w:rPr>
        <w:t>3  国务院关税税则委员会发布关于对美加征关税商品第八次排除延期清单的公告</w:t>
      </w:r>
    </w:p>
    <w:p>
      <w:pPr>
        <w:jc w:val="left"/>
        <w:rPr>
          <w:rFonts w:hint="eastAsia"/>
          <w:color w:val="auto"/>
        </w:rPr>
      </w:pPr>
      <w:r>
        <w:rPr>
          <w:rFonts w:hint="eastAsia"/>
          <w:color w:val="auto"/>
        </w:rPr>
        <w:t>4  工信部：为坚决落实党中央、国务院关于“外防输入、内防反弹”总策略和“动态清零”总方针，支撑高效统筹疫情防控和经济社会发展，方便广大用户出行，即日起取消通信行程卡“星号”标记。</w:t>
      </w:r>
    </w:p>
    <w:p>
      <w:pPr>
        <w:jc w:val="left"/>
        <w:rPr>
          <w:rFonts w:hint="eastAsia"/>
          <w:color w:val="auto"/>
        </w:rPr>
      </w:pPr>
      <w:r>
        <w:rPr>
          <w:rFonts w:hint="eastAsia"/>
          <w:color w:val="auto"/>
        </w:rPr>
        <w:t>5  证监会发布通告，决定进一步降低交易所债券市场交易成本，对民营企业债券融资交易费用应免尽免。</w:t>
      </w:r>
    </w:p>
    <w:p>
      <w:pPr>
        <w:jc w:val="left"/>
        <w:rPr>
          <w:rFonts w:hint="eastAsia"/>
          <w:color w:val="auto"/>
        </w:rPr>
      </w:pPr>
      <w:r>
        <w:rPr>
          <w:rFonts w:hint="eastAsia"/>
          <w:color w:val="auto"/>
        </w:rPr>
        <w:t xml:space="preserve"> 6  乘联会：6月1-26日，乘用车市场零售142.2万辆，同比去年增长27%，较上月同期增长37%</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09:30</w:t>
      </w:r>
      <w:r>
        <w:rPr>
          <w:rFonts w:hint="eastAsia"/>
          <w:color w:val="auto"/>
        </w:rPr>
        <w:tab/>
      </w:r>
      <w:r>
        <w:rPr>
          <w:rFonts w:hint="eastAsia"/>
          <w:color w:val="auto"/>
        </w:rPr>
        <w:t>中国6月官方制造业PMI</w:t>
      </w:r>
      <w:r>
        <w:rPr>
          <w:rFonts w:hint="eastAsia"/>
          <w:color w:val="auto"/>
        </w:rPr>
        <w:tab/>
      </w:r>
      <w:r>
        <w:rPr>
          <w:rFonts w:hint="eastAsia"/>
          <w:color w:val="auto"/>
        </w:rPr>
        <w:t>49.6</w:t>
      </w:r>
      <w:r>
        <w:rPr>
          <w:rFonts w:hint="eastAsia"/>
          <w:color w:val="auto"/>
        </w:rPr>
        <w:tab/>
      </w:r>
      <w:r>
        <w:rPr>
          <w:rFonts w:hint="eastAsia"/>
          <w:color w:val="auto"/>
        </w:rPr>
        <w:t>50.5</w:t>
      </w:r>
      <w:r>
        <w:rPr>
          <w:rFonts w:hint="eastAsia"/>
          <w:color w:val="auto"/>
        </w:rPr>
        <w:tab/>
      </w:r>
      <w:r>
        <w:rPr>
          <w:rFonts w:hint="eastAsia"/>
          <w:color w:val="auto"/>
        </w:rPr>
        <w:tab/>
      </w:r>
    </w:p>
    <w:p>
      <w:pPr>
        <w:jc w:val="left"/>
        <w:rPr>
          <w:rFonts w:hint="eastAsia"/>
          <w:color w:val="auto"/>
        </w:rPr>
      </w:pPr>
      <w:r>
        <w:rPr>
          <w:rFonts w:hint="eastAsia"/>
          <w:color w:val="auto"/>
        </w:rPr>
        <w:t>中国6月官方非制造业PMI</w:t>
      </w:r>
      <w:r>
        <w:rPr>
          <w:rFonts w:hint="eastAsia"/>
          <w:color w:val="auto"/>
        </w:rPr>
        <w:tab/>
      </w:r>
      <w:r>
        <w:rPr>
          <w:rFonts w:hint="eastAsia"/>
          <w:color w:val="auto"/>
        </w:rPr>
        <w:t>47.8</w:t>
      </w:r>
      <w:r>
        <w:rPr>
          <w:rFonts w:hint="eastAsia"/>
          <w:color w:val="auto"/>
        </w:rPr>
        <w:tab/>
      </w:r>
      <w:r>
        <w:rPr>
          <w:rFonts w:hint="eastAsia"/>
          <w:color w:val="auto"/>
        </w:rPr>
        <w:t>50.5</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中国6月官方综合PMI</w:t>
      </w:r>
      <w:r>
        <w:rPr>
          <w:rFonts w:hint="eastAsia"/>
          <w:color w:val="auto"/>
        </w:rPr>
        <w:tab/>
      </w:r>
      <w:r>
        <w:rPr>
          <w:rFonts w:hint="eastAsia"/>
          <w:color w:val="auto"/>
        </w:rPr>
        <w:t>48.4</w:t>
      </w:r>
    </w:p>
    <w:p>
      <w:pPr>
        <w:jc w:val="left"/>
        <w:rPr>
          <w:rFonts w:hint="eastAsia"/>
          <w:color w:val="auto"/>
        </w:rPr>
      </w:pPr>
      <w:r>
        <w:rPr>
          <w:rFonts w:hint="eastAsia"/>
          <w:color w:val="auto"/>
        </w:rPr>
        <w:t>17:00</w:t>
      </w:r>
      <w:r>
        <w:rPr>
          <w:rFonts w:hint="eastAsia"/>
          <w:color w:val="auto"/>
        </w:rPr>
        <w:tab/>
      </w:r>
      <w:r>
        <w:rPr>
          <w:rFonts w:hint="eastAsia"/>
          <w:color w:val="auto"/>
        </w:rPr>
        <w:t>欧元区5月失业率(%)</w:t>
      </w:r>
      <w:r>
        <w:rPr>
          <w:rFonts w:hint="eastAsia"/>
          <w:color w:val="auto"/>
        </w:rPr>
        <w:tab/>
      </w:r>
      <w:r>
        <w:rPr>
          <w:rFonts w:hint="eastAsia"/>
          <w:color w:val="auto"/>
        </w:rPr>
        <w:t>6.8</w:t>
      </w:r>
      <w:r>
        <w:rPr>
          <w:rFonts w:hint="eastAsia"/>
          <w:color w:val="auto"/>
        </w:rPr>
        <w:tab/>
      </w:r>
      <w:r>
        <w:rPr>
          <w:rFonts w:hint="eastAsia"/>
          <w:color w:val="auto"/>
        </w:rPr>
        <w:t>6.8</w:t>
      </w:r>
    </w:p>
    <w:p>
      <w:pPr>
        <w:jc w:val="left"/>
        <w:rPr>
          <w:rFonts w:hint="eastAsia"/>
          <w:color w:val="auto"/>
        </w:rPr>
      </w:pPr>
      <w:r>
        <w:rPr>
          <w:rFonts w:hint="eastAsia"/>
          <w:color w:val="auto"/>
        </w:rPr>
        <w:t>20:30</w:t>
      </w:r>
      <w:r>
        <w:rPr>
          <w:rFonts w:hint="eastAsia"/>
          <w:color w:val="auto"/>
        </w:rPr>
        <w:tab/>
      </w:r>
      <w:r>
        <w:rPr>
          <w:rFonts w:hint="eastAsia"/>
          <w:color w:val="auto"/>
        </w:rPr>
        <w:t>美国截至6月25日当周初请失业金人数(万)</w:t>
      </w:r>
      <w:r>
        <w:rPr>
          <w:rFonts w:hint="eastAsia"/>
          <w:color w:val="auto"/>
        </w:rPr>
        <w:tab/>
      </w:r>
      <w:r>
        <w:rPr>
          <w:rFonts w:hint="eastAsia"/>
          <w:color w:val="auto"/>
        </w:rPr>
        <w:t>22.9</w:t>
      </w:r>
      <w:r>
        <w:rPr>
          <w:rFonts w:hint="eastAsia"/>
          <w:color w:val="auto"/>
        </w:rPr>
        <w:tab/>
      </w:r>
      <w:r>
        <w:rPr>
          <w:rFonts w:hint="eastAsia"/>
          <w:color w:val="auto"/>
        </w:rPr>
        <w:t>22.8</w:t>
      </w:r>
      <w:r>
        <w:rPr>
          <w:rFonts w:hint="eastAsia"/>
          <w:color w:val="auto"/>
        </w:rPr>
        <w:tab/>
      </w:r>
      <w:r>
        <w:rPr>
          <w:rFonts w:hint="eastAsia"/>
          <w:color w:val="auto"/>
        </w:rPr>
        <w:tab/>
      </w:r>
    </w:p>
    <w:p>
      <w:pPr>
        <w:jc w:val="left"/>
        <w:rPr>
          <w:rFonts w:hint="eastAsia"/>
          <w:color w:val="auto"/>
        </w:rPr>
      </w:pPr>
      <w:r>
        <w:rPr>
          <w:rFonts w:hint="eastAsia"/>
          <w:color w:val="auto"/>
        </w:rPr>
        <w:t>美国截至6月25日当周初请失业金人数四周均值(万)</w:t>
      </w:r>
      <w:r>
        <w:rPr>
          <w:rFonts w:hint="eastAsia"/>
          <w:color w:val="auto"/>
        </w:rPr>
        <w:tab/>
      </w:r>
      <w:r>
        <w:rPr>
          <w:rFonts w:hint="eastAsia"/>
          <w:color w:val="auto"/>
        </w:rPr>
        <w:t>22.35</w:t>
      </w:r>
      <w:r>
        <w:rPr>
          <w:rFonts w:hint="eastAsia"/>
          <w:color w:val="auto"/>
        </w:rPr>
        <w:tab/>
      </w:r>
      <w:r>
        <w:rPr>
          <w:rFonts w:hint="eastAsia"/>
          <w:color w:val="auto"/>
        </w:rPr>
        <w:tab/>
      </w:r>
    </w:p>
    <w:p>
      <w:pPr>
        <w:jc w:val="left"/>
        <w:rPr>
          <w:rFonts w:hint="eastAsia"/>
          <w:color w:val="auto"/>
        </w:rPr>
      </w:pPr>
      <w:r>
        <w:rPr>
          <w:rFonts w:hint="eastAsia"/>
          <w:color w:val="auto"/>
        </w:rPr>
        <w:t>美国截至6月25日当周续请失业金人数(万)</w:t>
      </w:r>
      <w:r>
        <w:rPr>
          <w:rFonts w:hint="eastAsia"/>
          <w:color w:val="auto"/>
        </w:rPr>
        <w:tab/>
      </w:r>
      <w:r>
        <w:rPr>
          <w:rFonts w:hint="eastAsia"/>
          <w:color w:val="auto"/>
        </w:rPr>
        <w:t>131.5</w:t>
      </w:r>
      <w:r>
        <w:rPr>
          <w:rFonts w:hint="eastAsia"/>
          <w:color w:val="auto"/>
        </w:rPr>
        <w:tab/>
      </w:r>
      <w:r>
        <w:rPr>
          <w:rFonts w:hint="eastAsia"/>
          <w:color w:val="auto"/>
        </w:rPr>
        <w:t>131</w:t>
      </w:r>
      <w:r>
        <w:rPr>
          <w:rFonts w:hint="eastAsia"/>
          <w:color w:val="auto"/>
        </w:rPr>
        <w:tab/>
      </w:r>
      <w:r>
        <w:rPr>
          <w:rFonts w:hint="eastAsia"/>
          <w:color w:val="auto"/>
        </w:rPr>
        <w:tab/>
      </w:r>
    </w:p>
    <w:p>
      <w:pPr>
        <w:jc w:val="left"/>
        <w:rPr>
          <w:rFonts w:hint="eastAsia"/>
          <w:color w:val="auto"/>
        </w:rPr>
      </w:pPr>
      <w:r>
        <w:rPr>
          <w:rFonts w:hint="eastAsia"/>
          <w:color w:val="auto"/>
        </w:rPr>
        <w:t>20:30</w:t>
      </w:r>
      <w:r>
        <w:rPr>
          <w:rFonts w:hint="eastAsia"/>
          <w:color w:val="auto"/>
        </w:rPr>
        <w:tab/>
      </w:r>
      <w:r>
        <w:rPr>
          <w:rFonts w:hint="eastAsia"/>
          <w:color w:val="auto"/>
        </w:rPr>
        <w:t>美国5月个人支出月率(%)</w:t>
      </w:r>
      <w:r>
        <w:rPr>
          <w:rFonts w:hint="eastAsia"/>
          <w:color w:val="auto"/>
        </w:rPr>
        <w:tab/>
      </w:r>
      <w:r>
        <w:rPr>
          <w:rFonts w:hint="eastAsia"/>
          <w:color w:val="auto"/>
        </w:rPr>
        <w:t>0.9</w:t>
      </w:r>
      <w:r>
        <w:rPr>
          <w:rFonts w:hint="eastAsia"/>
          <w:color w:val="auto"/>
        </w:rPr>
        <w:tab/>
      </w:r>
      <w:r>
        <w:rPr>
          <w:rFonts w:hint="eastAsia"/>
          <w:color w:val="auto"/>
        </w:rPr>
        <w:t>0.4</w:t>
      </w:r>
    </w:p>
    <w:p>
      <w:pPr>
        <w:jc w:val="left"/>
        <w:rPr>
          <w:rFonts w:hint="eastAsia"/>
          <w:color w:val="auto"/>
        </w:rPr>
      </w:pPr>
      <w:r>
        <w:rPr>
          <w:rFonts w:hint="eastAsia"/>
          <w:color w:val="auto"/>
        </w:rPr>
        <w:t>21:45</w:t>
      </w:r>
      <w:r>
        <w:rPr>
          <w:rFonts w:hint="eastAsia"/>
          <w:color w:val="auto"/>
        </w:rPr>
        <w:tab/>
      </w:r>
      <w:r>
        <w:rPr>
          <w:rFonts w:hint="eastAsia"/>
          <w:color w:val="auto"/>
        </w:rPr>
        <w:t>美国6月芝加哥PMI</w:t>
      </w:r>
      <w:r>
        <w:rPr>
          <w:rFonts w:hint="eastAsia"/>
          <w:color w:val="auto"/>
        </w:rPr>
        <w:tab/>
      </w:r>
      <w:r>
        <w:rPr>
          <w:rFonts w:hint="eastAsia"/>
          <w:color w:val="auto"/>
        </w:rPr>
        <w:t>60.3</w:t>
      </w:r>
      <w:r>
        <w:rPr>
          <w:rFonts w:hint="eastAsia"/>
          <w:color w:val="auto"/>
        </w:rPr>
        <w:tab/>
      </w:r>
      <w:r>
        <w:rPr>
          <w:rFonts w:hint="eastAsia"/>
          <w:color w:val="auto"/>
        </w:rPr>
        <w:t>58.0</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三大指数均呈现震荡态势，午后市场跌幅有所扩大，截至收盘，沪指跌1.4%，报3361.52点，深成指跌2.2%，报12696.5点，创业板指跌2.53%，报2768.61点，科创50指数跌2.38%。沪深两市合计成交额13162.4亿元，刷新本轮反弹以来新高，为连续第5个交易日超1万亿元；北向资金实际净卖出16.83亿元。</w:t>
      </w:r>
    </w:p>
    <w:p>
      <w:pPr>
        <w:jc w:val="left"/>
        <w:rPr>
          <w:rFonts w:hint="eastAsia"/>
          <w:color w:val="auto"/>
        </w:rPr>
      </w:pPr>
      <w:r>
        <w:rPr>
          <w:rFonts w:hint="eastAsia"/>
          <w:color w:val="auto"/>
        </w:rPr>
        <w:t xml:space="preserve">    多空资金分歧加剧，不过依然运行在5日线上方，短期留意均线支撑，阶段性还需留意反复，密切关注近期短期投机性资金的快速流动</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元收涨于105.10部位；人民币离岸价稳定在6.702。欧美股市小跌。美股在平盘上下游走。鲍威尔称，设计出避免经济衰退的紧缩政策有可能但机会不大。美原油在连涨三日后收跌，保持区间波动模式。芝加哥(CBOT)大豆扩大涨幅，交易商在美国政府发布关键的种植面积报告前进行空头回补。CBOT 7月大豆收涨10-1/2美分，结算价报每蒲式耳16.74-1/4美元；新作11月大豆合约收涨15-3/4美分，结算价报14.78-1/4美元。7月豆粕收涨8.10美元，结算价报每短吨463.20美元，交投最活跃的12月豆粕收涨6.80美元，结算价报每短吨407.00美元。7月豆油收涨0.510美分，结算价报每磅72.60美分，交易最活跃的12月豆油收涨0.220美分，结算价报每磅66.98美分。交易商预计美国农业部在周四的种植面积和库存报告中会下调对大豆种植面积的预测。一项调查显示，八位分析师平均预计，全球最大的大豆供应国巴西的大豆种植面积可能增长近3%，至4,220万公顷(1.042亿英亩)。巴西下一年度大豆产量料将接近1.48亿吨，较当前作物年度增长18.5%，因预计农户将增加种植面积，且单产预计改善；此前干旱令即将结束的当前年度产量大幅减少。在美国农业部周四发布每周出口销售报告之前，交易商预计报告将显示截至6月23日当周，美国大豆出口销售料持平至净增80万吨。其中，2021/22年度大豆出口销售量预计为净减10万吨至净增30万吨，2022/23年度大豆出口销售料净增10-50万吨。交易商表示，周三美国铁路和卡车市场豆粕现货基差要价持平，但在美国独立日假期前需求强劲。</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框架如前，美豆自区间低沿反弹数日，在美农重要报告前投资者调整头寸。 大连盘跟随。9月油粕比在2.64；粕9－1逆差在223点。粕9日内续看围绕3900上方的波动，宜灵活。　　</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color w:val="auto"/>
              </w:rPr>
            </w:pPr>
            <w:r>
              <w:rPr>
                <w:rFonts w:hint="eastAsia"/>
                <w:color w:val="auto"/>
              </w:rPr>
              <w:t>美棉美棉涨停，12月合约最新价格97美分。根据美国农业部最新数据显示，目前全美棉株生长偏差率为30%，较去年同期增加23%，其中得州棉株偏差率56%，较去年同期大幅增加47%，目前偏差率已超过11年同期1%，近期得州棉区干旱情况有所增加，需关注产区天气变化情况。</w:t>
            </w:r>
          </w:p>
          <w:p>
            <w:pPr>
              <w:ind w:firstLine="840" w:firstLineChars="400"/>
              <w:rPr>
                <w:rFonts w:hint="eastAsia"/>
                <w:color w:val="auto"/>
              </w:rPr>
            </w:pPr>
            <w:r>
              <w:rPr>
                <w:rFonts w:hint="eastAsia"/>
                <w:color w:val="auto"/>
              </w:rPr>
              <w:t>郑棉大涨，9月合约最新价格17960元，6月29日，棉花现货指数CCI3128B报价至18341元/吨（+16），期现价差-766（09合约收盘价-现货价），涤纶短纤报价8520元/吨(-30)，黏胶短纤报价15600元/吨（+0）；CY Index C32S报价27790元/吨（-35），FCY Index C32S(进口棉纱价格指数)报价32083元/吨（+41）；郑棉仓单15335（-24），有效预报893（-60）。美国EMOT M到港价140.35分/磅（+0）；巴西M到港价139.3美分/磅（+0）。</w:t>
            </w:r>
          </w:p>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90多美分的美棉估值中性，匹配当前的低库存现状；国内市场等待相关政策的明朗，花纱价差转正，郑棉快速反弹，大跌后快速大涨，投机性强，行情上反弹延续。</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操作上，继续观望，关注30日的美棉种植报告。</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PTA</w:t>
            </w:r>
          </w:p>
        </w:tc>
        <w:tc>
          <w:tcPr>
            <w:tcW w:w="6410"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虽然美国商业原油库存持续下降，但汽油需求出现放缓迹象、库存增幅高于预期， 国际油价下跌。PX CFR中国价格收跌至1260.67美元/吨，PTA现货价格6755元，PTA加工区间收涨至374.97元/吨聚酯大厂减产计划之下，PTA贸易结构开始转换。按照聚酯工厂公布的减产计划，整体减产规模预计由10%提高至30%，意味着进一步减产20%(420万吨产能)，7月份聚酯装置开工率预计下降3%。PTA由前期的去库预期转为累库，期现贸易商纷纷平仓正套头寸。现货端的供应压力也将有所提高。基差方面，当前基差维持在210元/吨附近，但成交清淡。贸易结构的恶化导致PTA短期趋势偏弱。</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操作上，震荡偏弱对待，不杀跌，逢高背靠40日均线空单参与。</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钢材价格周三震荡走势，螺纹2210合约收于4399，热卷2210合约收于4425。现货方面，29日唐山普方坯出厂价报4040（+30），上海地区螺纹钢现货价格(HRB400 20mm)4350元（+50），热卷现货价格(4.75mm)4400元（平）。</w:t>
            </w:r>
          </w:p>
          <w:p>
            <w:pPr>
              <w:widowControl/>
              <w:suppressAutoHyphens w:val="0"/>
              <w:ind w:firstLine="630" w:firstLineChars="300"/>
              <w:jc w:val="left"/>
              <w:rPr>
                <w:rFonts w:hint="eastAsia"/>
                <w:color w:val="auto"/>
              </w:rPr>
            </w:pPr>
            <w:r>
              <w:rPr>
                <w:rFonts w:hint="eastAsia"/>
                <w:color w:val="auto"/>
              </w:rPr>
              <w:t>唐山印发《唐山市“十四五”时期“无废城市”建设工作方案》指出，严格执行钢铁、水泥、平板玻璃、焦化等行业产能置换规定，严禁新增产能。</w:t>
            </w:r>
          </w:p>
          <w:p>
            <w:pPr>
              <w:widowControl/>
              <w:suppressAutoHyphens w:val="0"/>
              <w:ind w:firstLine="630" w:firstLineChars="300"/>
              <w:jc w:val="left"/>
              <w:rPr>
                <w:rFonts w:hint="eastAsia"/>
                <w:color w:val="auto"/>
              </w:rPr>
            </w:pPr>
            <w:r>
              <w:rPr>
                <w:rFonts w:hint="eastAsia"/>
                <w:color w:val="auto"/>
              </w:rPr>
              <w:t>近日，宁波、武汉、苏州等地第二轮土地出让收官。从土拍结果看，这些地区第二轮土拍成交较首轮出现较为明显的回温，主要体现在流拍率下降、部分优质地块成交火爆，带动整体溢价率有所抬升。</w:t>
            </w:r>
          </w:p>
          <w:p>
            <w:pPr>
              <w:widowControl/>
              <w:suppressAutoHyphens w:val="0"/>
              <w:ind w:firstLine="630" w:firstLineChars="300"/>
              <w:jc w:val="left"/>
              <w:rPr>
                <w:rFonts w:hint="eastAsia"/>
                <w:color w:val="auto"/>
              </w:rPr>
            </w:pPr>
            <w:r>
              <w:rPr>
                <w:rFonts w:hint="eastAsia"/>
                <w:color w:val="auto"/>
              </w:rPr>
              <w:t>据Mysteel统计，本周唐山地区主流样本钢厂平均铁水不含税成本为3388元/吨，平均钢坯含税成本4347元/吨，周环比上调13元/吨，与6月29日当前普方坯出厂价格4040元/吨相比，钢厂平均毛利润亏损307元/吨。</w:t>
            </w:r>
          </w:p>
          <w:p>
            <w:pPr>
              <w:widowControl/>
              <w:suppressAutoHyphens w:val="0"/>
              <w:ind w:firstLine="630" w:firstLineChars="300"/>
              <w:jc w:val="left"/>
              <w:rPr>
                <w:rFonts w:hint="eastAsia"/>
                <w:color w:val="auto"/>
              </w:rPr>
            </w:pPr>
            <w:r>
              <w:rPr>
                <w:rFonts w:hint="eastAsia"/>
                <w:color w:val="auto"/>
              </w:rPr>
              <w:t>6月15日至6月29日，全国样本企业共有30座在检高炉，累计容积30740m³，铁水日产量减少9.01万吨；共有22座在检电炉，粗钢日产量减少5.66万吨。</w:t>
            </w:r>
          </w:p>
          <w:p>
            <w:pPr>
              <w:widowControl/>
              <w:suppressAutoHyphens w:val="0"/>
              <w:ind w:firstLine="630" w:firstLineChars="300"/>
              <w:jc w:val="left"/>
              <w:rPr>
                <w:rFonts w:hint="eastAsia" w:eastAsia="宋体"/>
                <w:color w:val="auto"/>
                <w:lang w:val="en-US" w:eastAsia="zh-CN"/>
              </w:rPr>
            </w:pPr>
            <w:r>
              <w:rPr>
                <w:rFonts w:hint="eastAsia"/>
                <w:color w:val="auto"/>
              </w:rPr>
              <w:t>国家修改防疫标准，取消行程码挂星，房企给出短期市场已触底的判断，经过6月的恢复，上海经济逐渐返回常态，宏观层面逐渐转向情绪稳定，内需型的钢材走势经历大跌后逐步走稳，筑底反弹。供应端由于当前钢厂利润的低迷，各地长流程检修逐渐增多，短流程电炉开工率持续维持低位，长周期看下半年由于国家粗钢的压产政策，钢厂的产量重心预计也将较上半年有所降低。</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当前行情仍以大跌后的反弹观点对待，淡季的需求端难有快速改善，关注后续压产情况，观望为主。</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auto"/>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lang w:val="en-US" w:eastAsia="zh-CN"/>
              </w:rPr>
              <w:t xml:space="preserve">     昨日进口铁矿港口现货全天价格下跌0-11。现青岛港PB粉865跌2，超特粉730跌3；曹妃甸港PB粉870平，超特粉737跌11；天津港PB粉875跌5，超特粉735跌9；江内港PB粉885跌2，超特粉750跌10；鲅鱼圈港PB粉903跌2；防城港港PB粉870。</w:t>
            </w:r>
          </w:p>
          <w:p>
            <w:pPr>
              <w:widowControl/>
              <w:suppressAutoHyphens w:val="0"/>
              <w:jc w:val="left"/>
              <w:rPr>
                <w:rFonts w:hint="eastAsia"/>
                <w:color w:val="auto"/>
                <w:lang w:val="en-US" w:eastAsia="zh-CN"/>
              </w:rPr>
            </w:pPr>
            <w:r>
              <w:rPr>
                <w:rFonts w:hint="eastAsia"/>
                <w:color w:val="auto"/>
                <w:lang w:val="en-US" w:eastAsia="zh-CN"/>
              </w:rPr>
              <w:t xml:space="preserve">     唐山印发《唐山市“十四五”时期“无废城市”建设工作方案》指出，严格执行钢铁、水泥、平板玻璃、焦化等行业产能置换规定，严禁新增产能。</w:t>
            </w:r>
          </w:p>
          <w:p>
            <w:pPr>
              <w:widowControl/>
              <w:suppressAutoHyphens w:val="0"/>
              <w:jc w:val="left"/>
              <w:rPr>
                <w:rFonts w:hint="default" w:eastAsia="宋体"/>
                <w:color w:val="auto"/>
                <w:lang w:val="en-US" w:eastAsia="zh-CN"/>
              </w:rPr>
            </w:pPr>
            <w:r>
              <w:rPr>
                <w:rFonts w:hint="eastAsia"/>
                <w:color w:val="auto"/>
                <w:lang w:val="en-US" w:eastAsia="zh-CN"/>
              </w:rPr>
              <w:t xml:space="preserve">      近期市场在弱需求传导至成材减产的负反馈下快速杀跌后，悲观情绪大幅释放，而钢厂减产幅度不及预期，矿石价格低位反弹修复，反弹持续度有限，上方要来自于终端需求的疲弱和钢铁利润的低位。</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短线或波段交易为主。</w:t>
            </w:r>
          </w:p>
          <w:p>
            <w:pPr>
              <w:rPr>
                <w:rFonts w:hint="eastAsia"/>
                <w:b/>
                <w:color w:val="auto"/>
                <w:lang w:eastAsia="zh-CN"/>
              </w:rPr>
            </w:pPr>
          </w:p>
          <w:p>
            <w:pPr>
              <w:rPr>
                <w:rFonts w:hint="eastAsia"/>
                <w:b/>
                <w:color w:val="auto"/>
                <w:lang w:eastAsia="zh-CN"/>
              </w:rPr>
            </w:pPr>
            <w:r>
              <w:rPr>
                <w:rFonts w:hint="eastAsia"/>
                <w:b/>
                <w:color w:val="auto"/>
                <w:lang w:eastAsia="zh-CN"/>
              </w:rPr>
              <w:t>(杨俊林</w:t>
            </w:r>
            <w:r>
              <w:rPr>
                <w:rFonts w:hint="eastAsia"/>
                <w:b/>
                <w:color w:val="auto"/>
                <w:lang w:eastAsia="zh-CN"/>
              </w:rPr>
              <w:t>)</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现货市场，双焦价格弱稳。山西介休1.3硫主焦2500元/吨，蒙5金泉提货价2450元/吨，加拿大主焦到港价430美元/吨；吕梁准一出厂价2950元/吨，唐山二级焦到厂价3050元/吨，青岛港准一焦平仓价3200元/吨。</w:t>
            </w:r>
          </w:p>
          <w:p>
            <w:pPr>
              <w:widowControl/>
              <w:suppressAutoHyphens w:val="0"/>
              <w:ind w:firstLine="630" w:firstLineChars="300"/>
              <w:jc w:val="left"/>
              <w:rPr>
                <w:rFonts w:hint="eastAsia"/>
                <w:color w:val="auto"/>
              </w:rPr>
            </w:pPr>
            <w:r>
              <w:rPr>
                <w:rFonts w:hint="eastAsia"/>
                <w:color w:val="auto"/>
              </w:rPr>
              <w:t>各地产销，部分焦企开始小单采购，炼焦煤市场情绪有所好转；焦企开工意愿依然偏弱，焦企利润还是处于亏损状态，生产积极性差，中西部地区焦企有20-30%左右的限产。钢厂方面，钢厂仍在控制原料到货节奏，以按需采购为主。</w:t>
            </w:r>
          </w:p>
          <w:p>
            <w:pPr>
              <w:widowControl/>
              <w:suppressAutoHyphens w:val="0"/>
              <w:ind w:firstLine="630" w:firstLineChars="300"/>
              <w:jc w:val="left"/>
              <w:rPr>
                <w:rFonts w:hint="eastAsia"/>
                <w:color w:val="auto"/>
              </w:rPr>
            </w:pPr>
            <w:r>
              <w:rPr>
                <w:rFonts w:hint="eastAsia"/>
                <w:color w:val="auto"/>
              </w:rPr>
              <w:t>据Mysteel不完全统计，6月15日至6月29日，全国样本企业共有30座在检高炉，累计容积30740m³，铁水日产量减少9.01万吨；共有22座在检电炉，粗钢日产量减少5.66万吨。</w:t>
            </w:r>
          </w:p>
          <w:p>
            <w:pPr>
              <w:widowControl/>
              <w:suppressAutoHyphens w:val="0"/>
              <w:ind w:firstLine="630" w:firstLineChars="300"/>
              <w:jc w:val="left"/>
              <w:rPr>
                <w:rFonts w:hint="eastAsia" w:eastAsia="宋体"/>
                <w:color w:val="auto"/>
                <w:lang w:val="en-US" w:eastAsia="zh-CN"/>
              </w:rPr>
            </w:pPr>
            <w:r>
              <w:rPr>
                <w:rFonts w:hint="eastAsia"/>
                <w:color w:val="auto"/>
              </w:rPr>
              <w:t>现货端，上周钢厂、焦企、煤矿均有减产，边际供求改善、短期盘面下挫空间受限，同时现货抗跌也增强盘面低位修复贴水的力度，如焦炭第二轮提降未能落地，则盘面仍有对照现货价格水平反弹修复的空间。不过上周成材库存持平略涨，钢厂减产力度仍显不足，价格承压抑制供应的状态尚难打破，价格反弹的趋势性不乐观，未来关注终端需求强弱，能否从需求端带动成材供求的改善。</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操作上，暂时观望。</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r>
              <w:rPr>
                <w:rFonts w:hint="eastAsia"/>
                <w:b/>
                <w:color w:val="auto"/>
                <w:lang w:eastAsia="zh-CN"/>
              </w:rPr>
              <w:t>）</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走势震荡，沪铝主力月2208合约收至19280元/吨，涨20元，涨幅0.10%。现货方面，29日长江现货成交价格19350-19390元/吨，涨110元，贴水30-升水10；广东现货19290-19350元/吨，涨60元，贴水90-贴水30；华通报19400-19440元/吨，涨110元。年中加上月底持货商回笼资金意愿更强，接货方对后市看衰，采购积极性更差，成交差强人意。</w:t>
            </w:r>
          </w:p>
          <w:p>
            <w:pPr>
              <w:widowControl/>
              <w:suppressAutoHyphens w:val="0"/>
              <w:ind w:firstLine="630" w:firstLineChars="300"/>
              <w:jc w:val="left"/>
              <w:rPr>
                <w:rFonts w:hint="eastAsia"/>
                <w:color w:val="auto"/>
                <w:lang w:val="en-US" w:eastAsia="zh-CN"/>
              </w:rPr>
            </w:pPr>
            <w:r>
              <w:rPr>
                <w:rFonts w:hint="eastAsia"/>
                <w:color w:val="auto"/>
                <w:lang w:val="en-US" w:eastAsia="zh-CN"/>
              </w:rPr>
              <w:t>SMM讯，山东某大型铝厂下调7月份预焙阳极采购基准价格，结束今年单边上涨行情，环比下跌280元/吨，现汇价格7265元/吨，承兑价格7300元/吨。</w:t>
            </w:r>
          </w:p>
          <w:p>
            <w:pPr>
              <w:widowControl/>
              <w:suppressAutoHyphens w:val="0"/>
              <w:ind w:firstLine="630" w:firstLineChars="300"/>
              <w:jc w:val="left"/>
              <w:rPr>
                <w:color w:val="auto"/>
              </w:rPr>
            </w:pPr>
            <w:r>
              <w:rPr>
                <w:rFonts w:hint="eastAsia"/>
                <w:color w:val="auto"/>
                <w:lang w:val="en-US" w:eastAsia="zh-CN"/>
              </w:rPr>
              <w:t>俄欧关系持续恶化，欧洲天然气价格飙升，欧洲铝企减产忧虑升温。国内运行产能稳步抬升，部分产能出现亏损，产量继续释放。下游需求暂无明显好转，部分地区出现高温天气，开工略受影响。近日宏观压力有所缓和，铝价触底反弹，但现货交易相对疲软，且临近需求淡季，下行压力仍限制涨幅。</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操作上观望或震荡思路对待，关注下游消费兑现情况。</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有色组</w:t>
            </w:r>
            <w:r>
              <w:rPr>
                <w:rFonts w:hint="eastAsia"/>
                <w:b/>
                <w:color w:val="auto"/>
                <w:lang w:eastAsia="zh-CN"/>
              </w:rPr>
              <w:t>）</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欧美股市互有涨跌，美欧英央行行长在论坛上均表示继续加息以遏制高通胀，鲍威尔强调要避免美国经济衰退，但并不能保证美国能实现经济的软着陆。美国一季度GDP增速遭到下调，海外经济总体扩张的形势保持放缓。国内央行继续强调通过积极实行稳健的货币政策，稳定经济大盘，而国内防疫政策逐步改进，有利于经济的回稳，昨日工业品期货指数偏强震荡，本周以来的反弹遭遇较大的压力，继续向上反弹存在一定难度，关注其短期的方向选择。行业方面，昨日泰国原料胶水下跌，成本端继续坍塌，但随着胶水价格逼近50泰铢，其下跌的动能料也将有所减轻。国内原料胶水价格持稳，成本区间上方的支撑同样明显。昨日国内天然橡胶现货价格微幅回落，维持近期震荡走势（全乳胶12750元/吨，-50/-0.39%；20号泰标1685美元/吨，持稳，折合人民币11278元/吨；20号泰混12600元/吨，持稳）。下游方面预期本周国内轮胎开工率小幅走低，市场轮胎替换需求低迷，加之当前代理商库存充足，对后市看空心态浓厚。</w:t>
            </w:r>
          </w:p>
          <w:p>
            <w:pPr>
              <w:widowControl/>
              <w:suppressAutoHyphens w:val="0"/>
              <w:ind w:firstLine="630" w:firstLineChars="300"/>
              <w:jc w:val="left"/>
              <w:rPr>
                <w:rFonts w:hint="eastAsia" w:eastAsia="宋体"/>
                <w:color w:val="auto"/>
                <w:lang w:eastAsia="zh-CN"/>
              </w:rPr>
            </w:pPr>
            <w:r>
              <w:rPr>
                <w:rFonts w:hint="eastAsia"/>
                <w:color w:val="auto"/>
              </w:rPr>
              <w:t>技术面：昨日RU2209保持窄幅震荡的局面，多空以减仓为主，不利于胶价的波幅，短期市场缺乏明确方向，下方支撑保持在12600附近，上方压力保持在12900-13000。</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操作建议：轻仓波段交易或观望，关注后市波幅的扩大。</w:t>
            </w:r>
          </w:p>
          <w:p>
            <w:pPr>
              <w:rPr>
                <w:rFonts w:hint="eastAsia"/>
                <w:b/>
                <w:color w:val="auto"/>
                <w:lang w:eastAsia="zh-CN"/>
              </w:rPr>
            </w:pPr>
          </w:p>
          <w:p>
            <w:pPr>
              <w:rPr>
                <w:b/>
                <w:color w:val="auto"/>
                <w:lang w:eastAsia="zh-CN"/>
              </w:rPr>
            </w:pP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欧佩克部长可能放松生产之前举行会议，将确认临时的64.8万桶/天的8月配额增加。6月29日，财政部、发改委发布《关于做好国际油价触及调控上限后实施阶段性价格补贴有关工作的通知》（下称《通知》）明确，当国际油价高于130美元每桶时，国内成品油价格阶段性不再上调，同时还将对炼油企业实行阶段性价格补贴。政策持续时间暂按两个月掌握。中国商务部已于2022年第二批向35家符合条件的独立和非国有炼油厂批准了5256万吨（3.8526亿桶）原油进口配额。比2021年同批3522万吨增长了49.2%。高盛首席大宗商品策略师杰夫·柯里表示，今年夏天布伦特原油期货价格最高将涨至每桶140美元。他认为，当前油气领域投资不足将继续推动油价攀升。此前在6月7日，高盛曾发布报告预测布伦特原油价格将触及每桶140美元。但自那之后，国际油价就连续两周下挫。沙特的炼油能力在2021年增长了13.7%，是同行中增幅最大的国家之一，主要是在红海的西海岸增加了40万桶/日的吉赞炼油厂。伊朗表示“本周”将重启核谈判，会谈将在卡塔尔多哈举行。自最近上线新管道产能以来，加拿大重质原油越来越多地流向美国墨西哥湾沿岸，这些原油再出口，WCS和Mars基准面临巨大差异。ARC的数据，厄瓜多尔原油产量从6月12日的49.9万桶/天下降了45%，至南美国家开始全国罢工的前一天，6月22日的27.59万桶/天。PlattsFOBSingapore92RON汽油裂与ICE布伦特原油裂解价差，上涨7.56美元/桶，至6月22日收盘时37.93美元/桶的历史高点。</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操作建议:虽然美国商业原油库存持续下降，但汽油需求出现放缓迹象、库存增幅高于预期，国际油价下跌。NYMEX原油期货08合约109.78跌1.98美元/桶或1.77%；ICE布油期货08合约116.26跌1.72美元/桶或1.46%。</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操作思路以短期高位震荡为主，关注布伦特原油震荡区间110-120美元/桶，注意止盈止损。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42D0F35"/>
    <w:rsid w:val="057C20A4"/>
    <w:rsid w:val="08D77793"/>
    <w:rsid w:val="093706B3"/>
    <w:rsid w:val="09656767"/>
    <w:rsid w:val="099174FC"/>
    <w:rsid w:val="09E27D0D"/>
    <w:rsid w:val="0A57325E"/>
    <w:rsid w:val="0A624104"/>
    <w:rsid w:val="0B544A92"/>
    <w:rsid w:val="0C12090D"/>
    <w:rsid w:val="0D7A2D36"/>
    <w:rsid w:val="12294B95"/>
    <w:rsid w:val="124F21B0"/>
    <w:rsid w:val="13B23C90"/>
    <w:rsid w:val="14E22F0B"/>
    <w:rsid w:val="16714D70"/>
    <w:rsid w:val="18890622"/>
    <w:rsid w:val="18B11A3E"/>
    <w:rsid w:val="18B21305"/>
    <w:rsid w:val="195C02AF"/>
    <w:rsid w:val="1A8E2066"/>
    <w:rsid w:val="1C955016"/>
    <w:rsid w:val="1CAE3AF0"/>
    <w:rsid w:val="1E9D2B4C"/>
    <w:rsid w:val="1EC70303"/>
    <w:rsid w:val="1F7E29BD"/>
    <w:rsid w:val="1F8072E8"/>
    <w:rsid w:val="20970D76"/>
    <w:rsid w:val="226C1608"/>
    <w:rsid w:val="227E57F8"/>
    <w:rsid w:val="227F224C"/>
    <w:rsid w:val="23C604D1"/>
    <w:rsid w:val="23F270CF"/>
    <w:rsid w:val="245A2629"/>
    <w:rsid w:val="2A7A4984"/>
    <w:rsid w:val="2B252FF2"/>
    <w:rsid w:val="2D8D3BC9"/>
    <w:rsid w:val="2FCC19BF"/>
    <w:rsid w:val="31EC1213"/>
    <w:rsid w:val="321D62B5"/>
    <w:rsid w:val="341F7FC4"/>
    <w:rsid w:val="353D5E3C"/>
    <w:rsid w:val="358935BB"/>
    <w:rsid w:val="36AB3BBE"/>
    <w:rsid w:val="384D33C8"/>
    <w:rsid w:val="39983F44"/>
    <w:rsid w:val="3CF13880"/>
    <w:rsid w:val="406C6812"/>
    <w:rsid w:val="40A56BD2"/>
    <w:rsid w:val="41A00C7B"/>
    <w:rsid w:val="424E1F35"/>
    <w:rsid w:val="426E1857"/>
    <w:rsid w:val="430419B8"/>
    <w:rsid w:val="43811021"/>
    <w:rsid w:val="442D0F38"/>
    <w:rsid w:val="465F7101"/>
    <w:rsid w:val="49131CBA"/>
    <w:rsid w:val="491A1D27"/>
    <w:rsid w:val="4A29450B"/>
    <w:rsid w:val="4A2A5B0A"/>
    <w:rsid w:val="4B25247A"/>
    <w:rsid w:val="4CDB5F58"/>
    <w:rsid w:val="4D9E7DC0"/>
    <w:rsid w:val="4DA0349C"/>
    <w:rsid w:val="4FCE0CA2"/>
    <w:rsid w:val="4FFF16B7"/>
    <w:rsid w:val="501C1047"/>
    <w:rsid w:val="509328D4"/>
    <w:rsid w:val="5132643B"/>
    <w:rsid w:val="518F71CD"/>
    <w:rsid w:val="526922B9"/>
    <w:rsid w:val="53B809A0"/>
    <w:rsid w:val="5610706B"/>
    <w:rsid w:val="578723B2"/>
    <w:rsid w:val="57D67B07"/>
    <w:rsid w:val="58CF0924"/>
    <w:rsid w:val="5B116A65"/>
    <w:rsid w:val="5B922A05"/>
    <w:rsid w:val="5CDE1F17"/>
    <w:rsid w:val="5FAE7A14"/>
    <w:rsid w:val="60593F12"/>
    <w:rsid w:val="66714647"/>
    <w:rsid w:val="66CC74E1"/>
    <w:rsid w:val="73C8743F"/>
    <w:rsid w:val="76583639"/>
    <w:rsid w:val="7A3D7229"/>
    <w:rsid w:val="7A857A1E"/>
    <w:rsid w:val="7A8C2DBA"/>
    <w:rsid w:val="7B9137A7"/>
    <w:rsid w:val="7C086E1A"/>
    <w:rsid w:val="7DFC7528"/>
    <w:rsid w:val="7E71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5</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2022-06-30T00:40:40Z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