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bookmarkStart w:id="0" w:name="_GoBack"/>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7月4</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rPr>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ISM公布的数据显示，受新订单疲软、陷入收缩拖累，美国6月ISM制造业创两年新低。库存指数接近2010年以来的最高水平。供应商交付、订单积压指数下滑，表明供应链和产能限制似乎正在缓解。ISM数据进一步证明了美国商品的需求正在放缓。</w:t>
      </w:r>
    </w:p>
    <w:p>
      <w:pPr>
        <w:jc w:val="left"/>
        <w:rPr>
          <w:rFonts w:hint="eastAsia"/>
          <w:color w:val="auto"/>
        </w:rPr>
      </w:pPr>
      <w:r>
        <w:rPr>
          <w:rFonts w:hint="eastAsia"/>
          <w:color w:val="auto"/>
        </w:rPr>
        <w:t>2 欧盟统计局公布数据显示，欧元区调和CPI在5月同比上升8.1%后，6月继续同比上升8.6%，续创历史最高水平，并高于预期的8.5%；调和CPI环比上升0.8%，与5月持平，高于预期的0.7%。</w:t>
      </w:r>
    </w:p>
    <w:p>
      <w:pPr>
        <w:jc w:val="left"/>
        <w:rPr>
          <w:rFonts w:hint="eastAsia"/>
          <w:color w:val="auto"/>
        </w:rPr>
      </w:pPr>
      <w:r>
        <w:rPr>
          <w:rFonts w:hint="eastAsia"/>
          <w:color w:val="auto"/>
        </w:rPr>
        <w:t>3  美联储内鸽派的旧金山联储主席戴利表示，美国通胀太高，美联储必须维持货币政策紧缩路径不变。“我支持美联储在7月份进一步加息75个基点”。</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中国6月财新制造业采购经理指数（PMI）录得51.7，高于5月3.6个百分点，3月以来首次高于荣枯线，并且为2021年6月以来最高。</w:t>
      </w:r>
    </w:p>
    <w:p>
      <w:pPr>
        <w:jc w:val="left"/>
        <w:rPr>
          <w:rFonts w:hint="eastAsia"/>
          <w:color w:val="auto"/>
        </w:rPr>
      </w:pPr>
      <w:r>
        <w:rPr>
          <w:rFonts w:hint="eastAsia"/>
          <w:color w:val="auto"/>
        </w:rPr>
        <w:t>2  近日召开的国务院常务会议确定了政策性、开发性金融工具支持重大项目建设的举措。中国人民银行有关司局负责人日前表示，人民银行支持国家开发银行、中国农业发展银行分别设立金融工具，规模共3000亿元</w:t>
      </w:r>
    </w:p>
    <w:p>
      <w:pPr>
        <w:jc w:val="left"/>
        <w:rPr>
          <w:rFonts w:hint="eastAsia"/>
          <w:color w:val="auto"/>
        </w:rPr>
      </w:pPr>
      <w:r>
        <w:rPr>
          <w:rFonts w:hint="eastAsia"/>
          <w:color w:val="auto"/>
        </w:rPr>
        <w:t>3  中国央行：政策性、开发性银行运用金融工具，重点投向三类项目：一是中央财经委员会第十一次会议明确的五大基础设施重点领域，二是重大科技创新等领域，三是其他可由地方政府专项债券投资的项目。</w:t>
      </w:r>
    </w:p>
    <w:p>
      <w:pPr>
        <w:jc w:val="left"/>
        <w:rPr>
          <w:rFonts w:hint="eastAsia"/>
          <w:color w:val="auto"/>
        </w:rPr>
      </w:pPr>
      <w:r>
        <w:rPr>
          <w:rFonts w:hint="eastAsia"/>
          <w:color w:val="auto"/>
        </w:rPr>
        <w:t>4  发改委发布关于做好盘活存量资产扩大有效投资有关工作的通知</w:t>
      </w:r>
    </w:p>
    <w:p>
      <w:pPr>
        <w:jc w:val="left"/>
        <w:rPr>
          <w:rFonts w:hint="eastAsia"/>
          <w:color w:val="auto"/>
        </w:rPr>
      </w:pPr>
      <w:r>
        <w:rPr>
          <w:rFonts w:hint="eastAsia"/>
          <w:color w:val="auto"/>
        </w:rPr>
        <w:t>5  6月，房地产市场呈现出“环比显著增长、同比降幅收窄”的向好态势，百强房企单月销售业绩环比增长六成，上半年累计销售业绩和拿地规模同比降幅仍大，但降幅收窄。</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美国独立纪念日，</w:t>
      </w:r>
      <w:r>
        <w:rPr>
          <w:rFonts w:hint="eastAsia"/>
          <w:color w:val="auto"/>
        </w:rPr>
        <w:tab/>
      </w:r>
      <w:r>
        <w:rPr>
          <w:rFonts w:hint="eastAsia"/>
          <w:color w:val="auto"/>
        </w:rPr>
        <w:t>纽约交易所休市一日。CME旗下贵金属、美国原油合约交易提前于北京时间次日02:30结束。ICE旗下布伦特原油期货合约交易提前于北京时间次日01:30结束。</w:t>
      </w:r>
    </w:p>
    <w:p>
      <w:pPr>
        <w:jc w:val="left"/>
        <w:rPr>
          <w:rFonts w:hint="eastAsia"/>
          <w:color w:val="auto"/>
        </w:rPr>
      </w:pPr>
      <w:r>
        <w:rPr>
          <w:rFonts w:hint="eastAsia"/>
          <w:color w:val="auto"/>
        </w:rPr>
        <w:t>16:30</w:t>
      </w:r>
      <w:r>
        <w:rPr>
          <w:rFonts w:hint="eastAsia"/>
          <w:color w:val="auto"/>
        </w:rPr>
        <w:tab/>
      </w:r>
      <w:r>
        <w:rPr>
          <w:rFonts w:hint="eastAsia"/>
          <w:color w:val="auto"/>
        </w:rPr>
        <w:t>欧元区7月Sentix投资者信心指数</w:t>
      </w:r>
      <w:r>
        <w:rPr>
          <w:rFonts w:hint="eastAsia"/>
          <w:color w:val="auto"/>
        </w:rPr>
        <w:tab/>
      </w:r>
      <w:r>
        <w:rPr>
          <w:rFonts w:hint="eastAsia"/>
          <w:color w:val="auto"/>
        </w:rPr>
        <w:t>-15.8</w:t>
      </w:r>
      <w:r>
        <w:rPr>
          <w:rFonts w:hint="eastAsia"/>
          <w:color w:val="auto"/>
        </w:rPr>
        <w:tab/>
      </w:r>
      <w:r>
        <w:rPr>
          <w:rFonts w:hint="eastAsia"/>
          <w:color w:val="auto"/>
        </w:rPr>
        <w:t>-20</w:t>
      </w:r>
    </w:p>
    <w:p>
      <w:pPr>
        <w:jc w:val="left"/>
        <w:rPr>
          <w:rFonts w:hint="eastAsia"/>
          <w:color w:val="auto"/>
        </w:rPr>
      </w:pPr>
      <w:r>
        <w:rPr>
          <w:rFonts w:hint="eastAsia"/>
          <w:color w:val="auto"/>
        </w:rPr>
        <w:t>17:00</w:t>
      </w:r>
      <w:r>
        <w:rPr>
          <w:rFonts w:hint="eastAsia"/>
          <w:color w:val="auto"/>
        </w:rPr>
        <w:tab/>
      </w:r>
      <w:r>
        <w:rPr>
          <w:rFonts w:hint="eastAsia"/>
          <w:color w:val="auto"/>
        </w:rPr>
        <w:t>欧元区5月PPI年率(%)</w:t>
      </w:r>
      <w:r>
        <w:rPr>
          <w:rFonts w:hint="eastAsia"/>
          <w:color w:val="auto"/>
        </w:rPr>
        <w:tab/>
      </w:r>
      <w:r>
        <w:rPr>
          <w:rFonts w:hint="eastAsia"/>
          <w:color w:val="auto"/>
        </w:rPr>
        <w:t>37.2</w:t>
      </w:r>
      <w:r>
        <w:rPr>
          <w:rFonts w:hint="eastAsia"/>
          <w:color w:val="auto"/>
        </w:rPr>
        <w:tab/>
      </w:r>
      <w:r>
        <w:rPr>
          <w:rFonts w:hint="eastAsia"/>
          <w:color w:val="auto"/>
        </w:rPr>
        <w:t>37.1</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欧元区5月PPI月率(%)</w:t>
      </w:r>
      <w:r>
        <w:rPr>
          <w:rFonts w:hint="eastAsia"/>
          <w:color w:val="auto"/>
        </w:rPr>
        <w:tab/>
      </w:r>
      <w:r>
        <w:rPr>
          <w:rFonts w:hint="eastAsia"/>
          <w:color w:val="auto"/>
        </w:rPr>
        <w:t>1.2</w:t>
      </w:r>
      <w:r>
        <w:rPr>
          <w:rFonts w:hint="eastAsia"/>
          <w:color w:val="auto"/>
        </w:rPr>
        <w:tab/>
      </w:r>
      <w:r>
        <w:rPr>
          <w:rFonts w:hint="eastAsia"/>
          <w:color w:val="auto"/>
        </w:rPr>
        <w:t>1.3</w:t>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周五指数早盘震荡，一度翻红，午后走弱，截至收盘，沪指跌0.32%，报3387.64点，深成指跌0.28%，报12860.36点，创业板指跌1.02%，报2781.94点，科创50指数跌1.5%。沪深两市合计成交额10513.4亿元，沪深港通今日南北向休市。</w:t>
      </w:r>
    </w:p>
    <w:p>
      <w:pPr>
        <w:jc w:val="left"/>
        <w:rPr>
          <w:rFonts w:hint="eastAsia"/>
          <w:color w:val="auto"/>
        </w:rPr>
      </w:pPr>
      <w:r>
        <w:rPr>
          <w:rFonts w:hint="eastAsia"/>
          <w:color w:val="auto"/>
        </w:rPr>
        <w:t xml:space="preserve">    指数在流动性宽松以及经济边际改善趋势下，随着市场情绪的提振，在3400点区域整理，需密切关注政策面、资金面以及外部因素的变化情况。</w:t>
      </w: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default" w:eastAsia="宋体"/>
                <w:color w:val="auto"/>
                <w:lang w:val="en-US" w:eastAsia="zh-CN"/>
              </w:rPr>
            </w:pPr>
            <w:r>
              <w:rPr>
                <w:rFonts w:hint="eastAsia"/>
                <w:color w:val="auto"/>
              </w:rPr>
              <w:t>隔夜外围美元收低于103.94部位；人民币离岸价收贬于6.686。欧美股市美弱欧强，小幅波动。市场缺乏驱动，受制于通胀忧虑和美联储加息的博弈局面。美原油主力8月上涨1.63美元，报每桶109.21美元。投资者等待在德国举办的G7领导人会议上，任何针对俄罗斯石油和天然气出口的新的规定。芝加哥(CBOT)大豆收高，交易商称，因上周大幅下跌后出现空头回补，以及美国现货市场在旧作大豆供应减少的情况下坚挺。CBOT 7月大豆收涨19-3/4美分，结算价报每蒲式耳16.30-1/2美元，11月新作大豆合约收涨8-1/2美分，结算价报14.32-3/4美元。豆粕和豆油期货走强带来支撑。7月豆粕收涨10.10美元，结算价报每短吨442.70美元。7月豆油收涨1.07美分，结算价报每磅70.82美分。12月豆油上涨0.73美分，结算价报每磅65.68美分。美国农业部周度出口检验报告显示，截至2022年6月23日当周，美国大豆出口检验量为46.8万吨，与市场预估的30-57.5万吨相符。当周，对中国大陆的大豆出口检验量为8.1万吨，占出口检验总量的17.2%。咨询机构战略谷物（Strategie Grains）表示，受预计收成增加以及从乌克兰持续进口的影响，欧盟油菜籽和葵花籽价格预计将在2022/23年度从本年度的高位回落。分析人士预计，美国农业部周四公布的数据将显示，与3月的预测相比，美国大豆和春小麦种植面积料将减少。盘后，美国农业部在每周作物生长报告中公布称，截至2022年6月26日当周，美国大豆生长优良率为65%，而分析师平均预估为68%，前一周为68%，去年同期为60%。　</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框架如前，美豆自高价圈区间低沿反弹。面积天气将随着周四晚报告而落定，而单产天气才刚刚开始。大连盘跟随。9月油粕比在2.65；粕9－1逆差在226点。粕9日内看围绕3850的波动，宜灵活。　</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（农产品部）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7月1日，棉花现货指数CCI3128B报价至18369元/吨（+28），期现价差-714（09合约收盘价-现货价），涤纶短纤报价8470元/吨(+0)，黏胶短纤报价15600元/吨（+0）；CY Index C32S报价27790元/吨（+0），FCY Index C32S(进口棉纱价格指数)报价32028元/吨（+55）；郑棉仓单15274（-61），有效预报861（-32）。美国EMOT M到港价143.75分/磅（+4）；巴西M到港价143.5美分/磅（+4）。情绪化后，美棉关注自身的低库存，天气干旱依然存在，95美分的棉价借着天气反弹也正常，借着原油外围走弱也正常，因此看震荡。国内7月是政策窗口，过去7月开始抛储，今年虽然新疆棉售卖难，但是考虑新疆棉禁令，纺企日子不好过，政府抛储来缓解纺企难题也算合理，也好为收储腾挪空间，关注近期的政策。供求面，花纱价差转好，订单不足导致企业补库的信心不足，供应充足。</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操作上，震荡对待，观望为主。</w:t>
            </w: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hint="eastAsia"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钢材价格周五走势回落，螺纹2210合约收于4220，热卷2210合约收于4252。现货方面，1日唐山普方坯出厂价报4000（-40），上海地区螺纹钢现货价格(HRB400 20mm)4310元（-40），热卷现货价格(4.75mm)4350元（-50）。</w:t>
            </w:r>
          </w:p>
          <w:p>
            <w:pPr>
              <w:widowControl/>
              <w:suppressAutoHyphens w:val="0"/>
              <w:ind w:firstLine="630" w:firstLineChars="300"/>
              <w:jc w:val="left"/>
              <w:rPr>
                <w:rFonts w:hint="eastAsia"/>
                <w:color w:val="auto"/>
              </w:rPr>
            </w:pPr>
            <w:r>
              <w:rPr>
                <w:rFonts w:hint="eastAsia"/>
                <w:color w:val="auto"/>
              </w:rPr>
              <w:t>6月财新中国制造业采购经理人指数（PMI）录得51.7，高于5月3.6个百分点，3月以来首次高于荣枯线，为2021年6月以来最高。</w:t>
            </w:r>
          </w:p>
          <w:p>
            <w:pPr>
              <w:widowControl/>
              <w:suppressAutoHyphens w:val="0"/>
              <w:ind w:firstLine="630" w:firstLineChars="300"/>
              <w:jc w:val="left"/>
              <w:rPr>
                <w:rFonts w:hint="eastAsia"/>
                <w:color w:val="auto"/>
              </w:rPr>
            </w:pPr>
            <w:r>
              <w:rPr>
                <w:rFonts w:hint="eastAsia"/>
                <w:color w:val="auto"/>
              </w:rPr>
              <w:t>近来国家发展改革委展开密集摸底，地方发展改革部门也陆续召开分析座谈会，根据这些会议释放的信号，当前经济逐步向好，保持良好复苏态势，但稳增长压力依然较大。下一阶段，助力企业满产稳产、因地制宜出台提振消费政策、有序有效推进重大项目建设等仍是重中之重。</w:t>
            </w:r>
          </w:p>
          <w:p>
            <w:pPr>
              <w:widowControl/>
              <w:suppressAutoHyphens w:val="0"/>
              <w:ind w:firstLine="630" w:firstLineChars="300"/>
              <w:jc w:val="left"/>
              <w:rPr>
                <w:rFonts w:hint="eastAsia"/>
                <w:color w:val="auto"/>
              </w:rPr>
            </w:pPr>
            <w:r>
              <w:rPr>
                <w:rFonts w:hint="eastAsia"/>
                <w:color w:val="auto"/>
              </w:rPr>
              <w:t>最新统计显示，6月房地产行业在境内债券市场净融资逾160亿元，连续第5个月保持净融资为正值，并创出过去12个月的新高。</w:t>
            </w:r>
          </w:p>
          <w:p>
            <w:pPr>
              <w:widowControl/>
              <w:suppressAutoHyphens w:val="0"/>
              <w:ind w:firstLine="630" w:firstLineChars="300"/>
              <w:jc w:val="left"/>
              <w:rPr>
                <w:rFonts w:hint="eastAsia"/>
                <w:color w:val="auto"/>
              </w:rPr>
            </w:pPr>
            <w:r>
              <w:rPr>
                <w:rFonts w:hint="eastAsia"/>
                <w:color w:val="auto"/>
              </w:rPr>
              <w:t>7月1日，Mysteel全国85家独立电弧炉钢厂开工率为48.19%，周环比下降9.46%，同比下降32.6%，平均产能利用率为35.59%，周环比下降8.26%，同比下降38.76%，创同期新低。日均粗钢产量周环比下降18.84%，样本电弧炉钢厂81.18%处于亏损状态。</w:t>
            </w:r>
          </w:p>
          <w:p>
            <w:pPr>
              <w:widowControl/>
              <w:suppressAutoHyphens w:val="0"/>
              <w:ind w:firstLine="630" w:firstLineChars="300"/>
              <w:jc w:val="left"/>
              <w:rPr>
                <w:rFonts w:hint="eastAsia" w:eastAsia="宋体"/>
                <w:color w:val="auto"/>
                <w:lang w:val="en-US" w:eastAsia="zh-CN"/>
              </w:rPr>
            </w:pPr>
            <w:r>
              <w:rPr>
                <w:rFonts w:hint="eastAsia"/>
                <w:color w:val="auto"/>
              </w:rPr>
              <w:t>本周钢材产量小幅回落，螺纹产量下降较为明显，钢厂产量从螺纹向热卷倾斜。卷螺周度消费量回升，钢材总库存下降。国家修改防疫标准，取消行程码挂星，房企给出短期市场已触底的判断，经过6月的恢复，上海经济逐渐返回常态，宏观层面逐渐转向情绪稳定，内需型的钢材走势经历大跌后逐步走稳，筑底反弹。供应端由于当前钢厂利润的低迷，各地长流程检修逐渐增多，短流程电炉开工率持续维持低位，长周期看下半年由于国家粗钢的压产政策，钢厂的产量重心预计也将较上半年有所降低。</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短期内消费淡季格局仍然维持，钢材价格预计震荡承压走势，保持观望态势。</w:t>
            </w:r>
          </w:p>
          <w:p>
            <w:pPr>
              <w:rPr>
                <w:rFonts w:hint="eastAsia"/>
                <w:b/>
                <w:color w:val="auto"/>
                <w:lang w:eastAsia="zh-CN"/>
              </w:rPr>
            </w:pPr>
          </w:p>
          <w:p>
            <w:pPr>
              <w:rPr>
                <w:b/>
                <w:color w:val="auto"/>
                <w:lang w:eastAsia="zh-CN"/>
              </w:rPr>
            </w:pPr>
            <w:r>
              <w:rPr>
                <w:rFonts w:hint="eastAsia"/>
                <w:b/>
                <w:color w:val="auto"/>
                <w:lang w:eastAsia="zh-CN"/>
              </w:rPr>
              <w:t>(黄</w:t>
            </w:r>
            <w:r>
              <w:rPr>
                <w:rFonts w:hint="eastAsia"/>
                <w:b/>
                <w:color w:val="auto"/>
                <w:lang w:eastAsia="zh-CN"/>
              </w:rPr>
              <w:t>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lang w:val="en-US" w:eastAsia="zh-CN"/>
              </w:rPr>
            </w:pPr>
            <w:r>
              <w:rPr>
                <w:rFonts w:hint="eastAsia"/>
                <w:color w:val="auto"/>
                <w:lang w:val="en-US" w:eastAsia="zh-CN"/>
              </w:rPr>
              <w:t xml:space="preserve">    全国45个港口进口铁矿库存为12571.57，环比降93.69；</w:t>
            </w:r>
          </w:p>
          <w:p>
            <w:pPr>
              <w:widowControl/>
              <w:suppressAutoHyphens w:val="0"/>
              <w:jc w:val="left"/>
              <w:rPr>
                <w:rFonts w:hint="eastAsia"/>
                <w:color w:val="auto"/>
                <w:lang w:val="en-US" w:eastAsia="zh-CN"/>
              </w:rPr>
            </w:pPr>
            <w:r>
              <w:rPr>
                <w:rFonts w:hint="eastAsia"/>
                <w:color w:val="auto"/>
                <w:lang w:val="en-US" w:eastAsia="zh-CN"/>
              </w:rPr>
              <w:t xml:space="preserve">    日均疏港量294.55降11.68。</w:t>
            </w:r>
          </w:p>
          <w:p>
            <w:pPr>
              <w:widowControl/>
              <w:suppressAutoHyphens w:val="0"/>
              <w:jc w:val="left"/>
              <w:rPr>
                <w:rFonts w:hint="eastAsia"/>
                <w:color w:val="auto"/>
                <w:lang w:val="en-US" w:eastAsia="zh-CN"/>
              </w:rPr>
            </w:pPr>
            <w:r>
              <w:rPr>
                <w:rFonts w:hint="eastAsia"/>
                <w:color w:val="auto"/>
                <w:lang w:val="en-US" w:eastAsia="zh-CN"/>
              </w:rPr>
              <w:t xml:space="preserve">    247家钢厂高炉开工率80.79%，环比上周下降1.13%，同比去年增加16.91%；</w:t>
            </w:r>
          </w:p>
          <w:p>
            <w:pPr>
              <w:widowControl/>
              <w:suppressAutoHyphens w:val="0"/>
              <w:jc w:val="left"/>
              <w:rPr>
                <w:rFonts w:hint="eastAsia"/>
                <w:color w:val="auto"/>
                <w:lang w:val="en-US" w:eastAsia="zh-CN"/>
              </w:rPr>
            </w:pPr>
            <w:r>
              <w:rPr>
                <w:rFonts w:hint="eastAsia"/>
                <w:color w:val="auto"/>
                <w:lang w:val="en-US" w:eastAsia="zh-CN"/>
              </w:rPr>
              <w:t xml:space="preserve">    高炉炼铁产能利用率87.61%，环比下降1.37%，同比增加6.97%；</w:t>
            </w:r>
          </w:p>
          <w:p>
            <w:pPr>
              <w:widowControl/>
              <w:suppressAutoHyphens w:val="0"/>
              <w:jc w:val="left"/>
              <w:rPr>
                <w:rFonts w:hint="eastAsia"/>
                <w:color w:val="auto"/>
                <w:lang w:val="en-US" w:eastAsia="zh-CN"/>
              </w:rPr>
            </w:pPr>
            <w:r>
              <w:rPr>
                <w:rFonts w:hint="eastAsia"/>
                <w:color w:val="auto"/>
                <w:lang w:val="en-US" w:eastAsia="zh-CN"/>
              </w:rPr>
              <w:t xml:space="preserve">    钢厂盈利率16.02%，环比增加0.87%，同比下降55.41%；</w:t>
            </w:r>
          </w:p>
          <w:p>
            <w:pPr>
              <w:widowControl/>
              <w:suppressAutoHyphens w:val="0"/>
              <w:jc w:val="left"/>
              <w:rPr>
                <w:rFonts w:hint="eastAsia"/>
                <w:color w:val="auto"/>
                <w:lang w:val="en-US" w:eastAsia="zh-CN"/>
              </w:rPr>
            </w:pPr>
            <w:r>
              <w:rPr>
                <w:rFonts w:hint="eastAsia"/>
                <w:color w:val="auto"/>
                <w:lang w:val="en-US" w:eastAsia="zh-CN"/>
              </w:rPr>
              <w:t xml:space="preserve">    日均铁水产量235.96万吨，环比下降3.69万吨，同比增加19.33万吨。</w:t>
            </w:r>
          </w:p>
          <w:p>
            <w:pPr>
              <w:widowControl/>
              <w:suppressAutoHyphens w:val="0"/>
              <w:jc w:val="left"/>
              <w:rPr>
                <w:rFonts w:hint="default" w:eastAsia="宋体"/>
                <w:color w:val="auto"/>
                <w:lang w:val="en-US" w:eastAsia="zh-CN"/>
              </w:rPr>
            </w:pPr>
            <w:r>
              <w:rPr>
                <w:rFonts w:hint="eastAsia"/>
                <w:color w:val="auto"/>
                <w:lang w:val="en-US" w:eastAsia="zh-CN"/>
              </w:rPr>
              <w:t xml:space="preserve">    近期市场终端需求改善有限，钢铁利润低位甚至亏损，压制原料价格的反弹空间，而粗钢压减政策下，下半年生铁产量仍有较大的下行空间，海内外供应端逐步释放，铁矿石市场供需趋于宽松，港口库存或将在7月份见到拐点。</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短线震荡偏弱运行，波段偏空思路操作；中期供需格局逐渐宽松，保持逢反弹沽空的思路。</w:t>
            </w:r>
          </w:p>
          <w:p>
            <w:pPr>
              <w:rPr>
                <w:rFonts w:hint="eastAsia"/>
                <w:b/>
                <w:color w:val="auto"/>
                <w:lang w:eastAsia="zh-CN"/>
              </w:rPr>
            </w:pPr>
          </w:p>
          <w:p>
            <w:pPr>
              <w:rPr>
                <w:rFonts w:hint="eastAsia"/>
                <w:b/>
                <w:color w:val="auto"/>
                <w:lang w:eastAsia="zh-CN"/>
              </w:rPr>
            </w:pPr>
            <w:r>
              <w:rPr>
                <w:rFonts w:hint="eastAsia"/>
                <w:b/>
                <w:color w:val="auto"/>
                <w:lang w:eastAsia="zh-CN"/>
              </w:rPr>
              <w:t>(杨</w:t>
            </w:r>
            <w:r>
              <w:rPr>
                <w:rFonts w:hint="eastAsia"/>
                <w:b/>
                <w:color w:val="auto"/>
                <w:lang w:eastAsia="zh-CN"/>
              </w:rPr>
              <w:t>俊林)</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现货市场，双焦价格偏弱运行。山西介休1.3硫主焦2500元/吨，蒙5金泉提货价2350元/吨，加拿大主焦到港价430美元/吨；吕梁准一出厂价2950元/吨，唐山二级焦到厂价3050元/吨，青岛港准一焦平仓价3200元/吨。</w:t>
            </w:r>
          </w:p>
          <w:p>
            <w:pPr>
              <w:widowControl/>
              <w:suppressAutoHyphens w:val="0"/>
              <w:ind w:firstLine="630" w:firstLineChars="300"/>
              <w:jc w:val="left"/>
              <w:rPr>
                <w:rFonts w:hint="eastAsia"/>
                <w:color w:val="auto"/>
              </w:rPr>
            </w:pPr>
            <w:r>
              <w:rPr>
                <w:rFonts w:hint="eastAsia"/>
                <w:color w:val="auto"/>
              </w:rPr>
              <w:t>双休日，河北唐山方坯出厂价格累计下跌60元，报3940元/吨，较上周日下跌20元；国内在营业市场建筑钢价出现回落，其中，华北、华东和西南部分钢厂追跌，市场价格下调，低价出货情况尚可。</w:t>
            </w:r>
          </w:p>
          <w:p>
            <w:pPr>
              <w:widowControl/>
              <w:suppressAutoHyphens w:val="0"/>
              <w:ind w:firstLine="630" w:firstLineChars="300"/>
              <w:jc w:val="left"/>
              <w:rPr>
                <w:rFonts w:hint="eastAsia"/>
                <w:color w:val="auto"/>
              </w:rPr>
            </w:pPr>
            <w:r>
              <w:rPr>
                <w:rFonts w:hint="eastAsia"/>
                <w:color w:val="auto"/>
              </w:rPr>
              <w:t>今日疫情在多地呈现散发状况。安徽泗县7月3日新增新冠肺炎阳性病例234例，其中确诊病例20例，无症状感染者214例；安徽灵璧县新增无症状感染者30例；7月3日，无锡市在对集中隔离和重点风险人员进行核酸检测中发现35名初筛阳性。</w:t>
            </w:r>
          </w:p>
          <w:p>
            <w:pPr>
              <w:widowControl/>
              <w:suppressAutoHyphens w:val="0"/>
              <w:ind w:firstLine="630" w:firstLineChars="300"/>
              <w:jc w:val="left"/>
              <w:rPr>
                <w:rFonts w:hint="eastAsia" w:eastAsia="宋体"/>
                <w:color w:val="auto"/>
                <w:lang w:val="en-US" w:eastAsia="zh-CN"/>
              </w:rPr>
            </w:pPr>
            <w:r>
              <w:rPr>
                <w:rFonts w:hint="eastAsia"/>
                <w:color w:val="auto"/>
              </w:rPr>
              <w:t>整体来看，受近期疫情散发影响，需求预期相对削弱，黑色市场负反馈的压力仍在，周末钢价下调，双焦价格未来继续下行的压力增大，盘面也有进一步走弱的可能。不过仍需关注终端需求表现，上周成材表需有一定回升，成材库存压力部分减轻，关注其持续性。</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操作上，短线偏空思路。</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李岩）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上周五沪铝走势疲软，沪铝主力月2208合约收至18900元/吨，跌310元，跌幅1.61%。现货方面，长江现货成交价格19210-19250元/吨，跌140元，贴水35-升水5；广东现货19160-19220元/吨，跌130元，贴水85-贴水55；华通报19260-19300元/吨，跌140元。持货商上下调价，接货方看跌观望少采，交投走弱，成交显得一般。</w:t>
            </w:r>
          </w:p>
          <w:p>
            <w:pPr>
              <w:widowControl/>
              <w:suppressAutoHyphens w:val="0"/>
              <w:ind w:firstLine="630" w:firstLineChars="300"/>
              <w:jc w:val="left"/>
              <w:rPr>
                <w:rFonts w:hint="eastAsia"/>
                <w:color w:val="auto"/>
                <w:lang w:val="en-US" w:eastAsia="zh-CN"/>
              </w:rPr>
            </w:pPr>
            <w:r>
              <w:rPr>
                <w:rFonts w:hint="eastAsia"/>
                <w:color w:val="auto"/>
                <w:lang w:val="en-US" w:eastAsia="zh-CN"/>
              </w:rPr>
              <w:t>SMM数据显示，国内铝下游开工回暖，6月国内铝加工行业PMI指数录得51.5,环比增长5.7，为2022年首次回升至荣枯线以上。</w:t>
            </w:r>
          </w:p>
          <w:p>
            <w:pPr>
              <w:widowControl/>
              <w:suppressAutoHyphens w:val="0"/>
              <w:ind w:firstLine="630" w:firstLineChars="300"/>
              <w:jc w:val="left"/>
              <w:rPr>
                <w:color w:val="auto"/>
              </w:rPr>
            </w:pPr>
            <w:r>
              <w:rPr>
                <w:rFonts w:hint="eastAsia"/>
                <w:color w:val="auto"/>
                <w:lang w:val="en-US" w:eastAsia="zh-CN"/>
              </w:rPr>
              <w:t>俄欧关系持续恶化，欧洲天然气价格飙升，欧洲铝企减产忧虑升温。国内运行产能稳步抬升，部分产能出现亏损，产量继续释放。国内防疫政策逐步宽松，但下游需求仍无明显好转，终端地产持续低迷继续拖累铝价。近日宏观情绪偏空，且临近需求淡季，下行压力仍压制铝价。</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操作上观望或震荡思路对待，关注下游消费兑现情况。</w:t>
            </w:r>
          </w:p>
          <w:p>
            <w:pPr>
              <w:rPr>
                <w:rFonts w:hint="eastAsia"/>
                <w:b/>
                <w:color w:val="auto"/>
                <w:lang w:eastAsia="zh-CN"/>
              </w:rPr>
            </w:pPr>
          </w:p>
          <w:p>
            <w:pPr>
              <w:rPr>
                <w:b/>
                <w:color w:val="auto"/>
                <w:lang w:eastAsia="zh-CN"/>
              </w:rPr>
            </w:pPr>
            <w:r>
              <w:rPr>
                <w:rFonts w:hint="eastAsia"/>
                <w:b/>
                <w:color w:val="auto"/>
                <w:lang w:eastAsia="zh-CN"/>
              </w:rPr>
              <w:t>（有色组）</w:t>
            </w:r>
          </w:p>
        </w:tc>
      </w:tr>
      <w:tr>
        <w:tblPrEx>
          <w:tblCellMar>
            <w:top w:w="0" w:type="dxa"/>
            <w:left w:w="108" w:type="dxa"/>
            <w:bottom w:w="0" w:type="dxa"/>
            <w:right w:w="108" w:type="dxa"/>
          </w:tblCellMar>
        </w:tblPrEx>
        <w:trPr>
          <w:cantSplit/>
          <w:trHeight w:val="6771"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美股上周五收涨，海外主要金融市场情绪暂时趋于稳定，不过整体依旧承压，高通胀、经济增长乏力以及加息依旧困扰着海外市场。国内6月财新制造业PMI较五月显著走高，且步入扩张区间，体现出国内经济持续回稳，有利于提振市场对天胶内需的信心。上周五国内工业品期货指数继续下跌，而短期下方仍面临较强支撑，能否短暂止跌回升值得重点关注。相比整体工业品的弱势而言，RU表现积极，RU与整体市场情绪的关系再度转为逆向，后市需要继续关注两者之间的关系变动。行业方面，上周五泰国原料价格暂时持稳，国内云南产区近几日降水较多，原料产出偏紧，胶水价格小幅上涨。截至6月26日，国内天然橡胶社会库存99.32万吨，较上期缩减2.79万吨，环比跌幅2.73%，保持去库状态，有利于提振胶价。预计6月份天然橡胶进口环比小幅增加，同比基本持稳，而轮胎开工率依旧不甚强劲，轮胎企业库存压力较大。上周五天然橡胶现货价格小幅上涨（全乳胶12900元/吨，+150/+1.18%；20号泰标1695美元/吨，+10/+0.59%，折合人民币11333元/吨；20号泰混12650元/吨，+50/+0.4%）。</w:t>
            </w:r>
          </w:p>
          <w:p>
            <w:pPr>
              <w:widowControl/>
              <w:suppressAutoHyphens w:val="0"/>
              <w:ind w:firstLine="630" w:firstLineChars="300"/>
              <w:jc w:val="left"/>
              <w:rPr>
                <w:rFonts w:hint="eastAsia"/>
                <w:color w:val="auto"/>
              </w:rPr>
            </w:pPr>
            <w:r>
              <w:rPr>
                <w:rFonts w:hint="eastAsia"/>
                <w:color w:val="auto"/>
              </w:rPr>
              <w:t>技术面：上周五RU2209明显反弹，夜盘收盘站上13000关口，六月下旬以来形成震荡反弹的局面，不过上方13200-13300等位置仍有较大压力，反弹过程料难流畅，下方关键支撑在12900-12950。</w:t>
            </w:r>
          </w:p>
          <w:p>
            <w:pPr>
              <w:widowControl/>
              <w:suppressAutoHyphens w:val="0"/>
              <w:ind w:firstLine="630" w:firstLineChars="300"/>
              <w:jc w:val="left"/>
              <w:rPr>
                <w:rFonts w:hint="eastAsia" w:eastAsia="宋体"/>
                <w:color w:val="auto"/>
                <w:lang w:eastAsia="zh-CN"/>
              </w:rPr>
            </w:pP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操作建议：震荡反弹操作思路，若回调跌破12900则应调整思路。</w:t>
            </w:r>
          </w:p>
          <w:p>
            <w:pPr>
              <w:rPr>
                <w:rFonts w:hint="eastAsia"/>
                <w:b/>
                <w:color w:val="auto"/>
                <w:lang w:eastAsia="zh-CN"/>
              </w:rPr>
            </w:pPr>
          </w:p>
          <w:p>
            <w:pPr>
              <w:rPr>
                <w:b/>
                <w:color w:val="auto"/>
                <w:lang w:eastAsia="zh-CN"/>
              </w:rPr>
            </w:pPr>
            <w:r>
              <w:rPr>
                <w:rFonts w:hint="eastAsia"/>
                <w:b/>
                <w:color w:val="auto"/>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能源咨询机构伍德麦肯兹：预计第三季度布伦特原油均价在117美元/桶，第四季度面临下行压力，但在2023年前都将呈现高位波动。OPEC+已同意继续将8月份的原油产量配额增加64.8万桶/天。美国总统拜登准备于7月15日至16日访问沙特，与海湾领导人举行峰会。美国西海岸的港口和码头工人表示，他们将错过7月1日签署劳工协议的最后期限，使化工公司面临更多供应链问题的风险。美国监管机构希望自由港LNG采取纠正措施并寻求批准，然后再恢复德州出口设施的正常运营，该设施自6月8日爆炸和火灾以来一直关闭。6月29日，财政部、发改委发布《关于做好国际油价触及调控上限后实施阶段性价格补贴有关工作的通知》明确，当国际油价高于130美元每桶时，国内成品油价格阶段性不再上调，同时还将对炼油企业实行阶段性价格补贴。政策持续时间暂按两个月掌握。中国商务部已于2022年第二批向35家符合条件的独立和非国有炼油厂批准了5256万吨（3.8526亿桶）原油进口配额。比2021年同批3522万吨增长了49.2%。高盛首席大宗商品策略师杰夫·柯里表示，今年夏天布伦特原油期货价格最高将涨至每桶140美元。他认为，当前油气领域投资不足将继续推动油价攀升。此前在6月7日，高盛曾发布报告预测布伦特原油价格将触及每桶140美元。但自那之后，国际油价就连续两周下挫。沙特的炼油能力在2021年增长了13.7%，是同行中增幅最大的国家之一，主要是在红海的西海岸增加了40万桶/日的吉赞炼油厂。</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 利比亚供应下滑明显，且市场担忧OPEC+增产能力不及预期，国际油价反弹。NYMEX原油期货08合约108.43涨2.67美元/桶或2.52%；ICE布油期货换月09合约111.63涨2.60美元/桶或2.38%。</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操作思路以短期高位震荡偏空为主，关注布伦特原油震荡区间105-115美元/桶，注意止盈止损。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006B66"/>
    <w:rsid w:val="01A17F68"/>
    <w:rsid w:val="042D0F35"/>
    <w:rsid w:val="057C20A4"/>
    <w:rsid w:val="08D77793"/>
    <w:rsid w:val="093706B3"/>
    <w:rsid w:val="09656767"/>
    <w:rsid w:val="099174FC"/>
    <w:rsid w:val="09E27D0D"/>
    <w:rsid w:val="0A57325E"/>
    <w:rsid w:val="0A624104"/>
    <w:rsid w:val="0B544A92"/>
    <w:rsid w:val="0C12090D"/>
    <w:rsid w:val="0D7A2D36"/>
    <w:rsid w:val="12294B95"/>
    <w:rsid w:val="124F21B0"/>
    <w:rsid w:val="13B23C90"/>
    <w:rsid w:val="14E22F0B"/>
    <w:rsid w:val="16714D70"/>
    <w:rsid w:val="18890622"/>
    <w:rsid w:val="18B11A3E"/>
    <w:rsid w:val="18B21305"/>
    <w:rsid w:val="195C02AF"/>
    <w:rsid w:val="1A8E2066"/>
    <w:rsid w:val="1C955016"/>
    <w:rsid w:val="1CAE3AF0"/>
    <w:rsid w:val="1E9D2B4C"/>
    <w:rsid w:val="1EC70303"/>
    <w:rsid w:val="1F7E29BD"/>
    <w:rsid w:val="1F8072E8"/>
    <w:rsid w:val="20970D76"/>
    <w:rsid w:val="226C1608"/>
    <w:rsid w:val="227E57F8"/>
    <w:rsid w:val="227F224C"/>
    <w:rsid w:val="23C604D1"/>
    <w:rsid w:val="23F270CF"/>
    <w:rsid w:val="245A2629"/>
    <w:rsid w:val="2A7A4984"/>
    <w:rsid w:val="2B252FF2"/>
    <w:rsid w:val="2D8D3BC9"/>
    <w:rsid w:val="2FCC19BF"/>
    <w:rsid w:val="31EC1213"/>
    <w:rsid w:val="321D62B5"/>
    <w:rsid w:val="341F7FC4"/>
    <w:rsid w:val="353D5E3C"/>
    <w:rsid w:val="358935BB"/>
    <w:rsid w:val="36AB3BBE"/>
    <w:rsid w:val="375761BA"/>
    <w:rsid w:val="384D33C8"/>
    <w:rsid w:val="39983F44"/>
    <w:rsid w:val="3CF13880"/>
    <w:rsid w:val="406C6812"/>
    <w:rsid w:val="40A56BD2"/>
    <w:rsid w:val="41A00C7B"/>
    <w:rsid w:val="424E1F35"/>
    <w:rsid w:val="426E1857"/>
    <w:rsid w:val="430419B8"/>
    <w:rsid w:val="43811021"/>
    <w:rsid w:val="442D0F38"/>
    <w:rsid w:val="465F7101"/>
    <w:rsid w:val="49131CBA"/>
    <w:rsid w:val="491A1D27"/>
    <w:rsid w:val="4A29450B"/>
    <w:rsid w:val="4A2A5B0A"/>
    <w:rsid w:val="4B25247A"/>
    <w:rsid w:val="4CDB5F58"/>
    <w:rsid w:val="4D9E7DC0"/>
    <w:rsid w:val="4DA0349C"/>
    <w:rsid w:val="4FCE0CA2"/>
    <w:rsid w:val="4FFF16B7"/>
    <w:rsid w:val="501C1047"/>
    <w:rsid w:val="509328D4"/>
    <w:rsid w:val="5132643B"/>
    <w:rsid w:val="518F71CD"/>
    <w:rsid w:val="526922B9"/>
    <w:rsid w:val="53B809A0"/>
    <w:rsid w:val="5610706B"/>
    <w:rsid w:val="578723B2"/>
    <w:rsid w:val="57D67B07"/>
    <w:rsid w:val="58CF0924"/>
    <w:rsid w:val="5B116A65"/>
    <w:rsid w:val="5B922A05"/>
    <w:rsid w:val="5CDE1F17"/>
    <w:rsid w:val="5FAE7A14"/>
    <w:rsid w:val="60593F12"/>
    <w:rsid w:val="648125BD"/>
    <w:rsid w:val="66714647"/>
    <w:rsid w:val="66CC74E1"/>
    <w:rsid w:val="73C8743F"/>
    <w:rsid w:val="76583639"/>
    <w:rsid w:val="7A3D7229"/>
    <w:rsid w:val="7A857A1E"/>
    <w:rsid w:val="7A8C2DBA"/>
    <w:rsid w:val="7B9137A7"/>
    <w:rsid w:val="7C086E1A"/>
    <w:rsid w:val="7DFC7528"/>
    <w:rsid w:val="7E71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1</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2022-07-04T00:45:24Z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