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宋体" w:hAnsi="宋体" w:cs="宋体"/>
          <w:color w:val="auto"/>
          <w:kern w:val="0"/>
          <w:szCs w:val="21"/>
          <w:lang w:eastAsia="zh-CN"/>
        </w:rPr>
      </w:pPr>
      <w:r>
        <w:rPr>
          <w:rFonts w:hint="eastAsia" w:ascii="宋体" w:hAnsi="宋体" w:cs="宋体"/>
          <w:color w:val="auto"/>
          <w:kern w:val="0"/>
          <w:szCs w:val="21"/>
          <w:lang w:eastAsia="zh-CN"/>
        </w:rPr>
        <w:t>道通早报</w:t>
      </w:r>
    </w:p>
    <w:p>
      <w:pPr>
        <w:widowControl/>
        <w:jc w:val="right"/>
        <w:rPr>
          <w:rFonts w:ascii="宋体" w:hAnsi="宋体" w:cs="宋体"/>
          <w:color w:val="auto"/>
          <w:kern w:val="0"/>
          <w:szCs w:val="21"/>
          <w:lang w:eastAsia="zh-CN"/>
        </w:rPr>
      </w:pPr>
      <w:r>
        <w:rPr>
          <w:rFonts w:hint="eastAsia" w:ascii="宋体" w:hAnsi="宋体" w:cs="宋体"/>
          <w:color w:val="auto"/>
          <w:kern w:val="0"/>
          <w:szCs w:val="21"/>
          <w:lang w:eastAsia="zh-CN"/>
        </w:rPr>
        <w:t>日期：202</w:t>
      </w:r>
      <w:r>
        <w:rPr>
          <w:rFonts w:hint="eastAsia" w:ascii="宋体" w:hAnsi="宋体" w:cs="宋体"/>
          <w:color w:val="auto"/>
          <w:kern w:val="0"/>
          <w:szCs w:val="21"/>
          <w:lang w:val="en-US" w:eastAsia="zh-CN"/>
        </w:rPr>
        <w:t>2</w:t>
      </w:r>
      <w:r>
        <w:rPr>
          <w:rFonts w:hint="eastAsia" w:ascii="宋体" w:hAnsi="宋体" w:cs="宋体"/>
          <w:color w:val="auto"/>
          <w:kern w:val="0"/>
          <w:szCs w:val="21"/>
          <w:lang w:eastAsia="zh-CN"/>
        </w:rPr>
        <w:t>年</w:t>
      </w:r>
      <w:r>
        <w:rPr>
          <w:rFonts w:hint="eastAsia" w:ascii="宋体" w:hAnsi="宋体" w:cs="宋体"/>
          <w:color w:val="auto"/>
          <w:kern w:val="0"/>
          <w:szCs w:val="21"/>
          <w:lang w:val="en-US" w:eastAsia="zh-CN"/>
        </w:rPr>
        <w:t>7月5</w:t>
      </w:r>
      <w:r>
        <w:rPr>
          <w:rFonts w:hint="eastAsia" w:ascii="宋体" w:hAnsi="宋体" w:cs="宋体"/>
          <w:color w:val="auto"/>
          <w:kern w:val="0"/>
          <w:szCs w:val="21"/>
          <w:lang w:eastAsia="zh-CN"/>
        </w:rPr>
        <w:t>日</w:t>
      </w:r>
    </w:p>
    <w:p>
      <w:pPr>
        <w:jc w:val="center"/>
        <w:rPr>
          <w:rFonts w:ascii="宋体" w:hAnsi="宋体" w:cs="宋体"/>
          <w:color w:val="auto"/>
          <w:kern w:val="0"/>
          <w:szCs w:val="21"/>
          <w:lang w:eastAsia="zh-CN"/>
        </w:rPr>
      </w:pPr>
    </w:p>
    <w:p>
      <w:pPr>
        <w:jc w:val="center"/>
        <w:rPr>
          <w:rFonts w:ascii="宋体" w:hAnsi="宋体" w:cs="宋体"/>
          <w:color w:val="auto"/>
          <w:kern w:val="0"/>
          <w:szCs w:val="21"/>
          <w:lang w:eastAsia="zh-CN"/>
        </w:rPr>
      </w:pPr>
    </w:p>
    <w:p>
      <w:pPr>
        <w:jc w:val="center"/>
        <w:rPr>
          <w:rFonts w:ascii="宋体" w:hAnsi="宋体" w:cs="宋体"/>
          <w:color w:val="auto"/>
          <w:kern w:val="0"/>
          <w:szCs w:val="21"/>
          <w:lang w:eastAsia="zh-CN"/>
        </w:rPr>
      </w:pPr>
      <w:r>
        <w:rPr>
          <w:rFonts w:hint="eastAsia" w:ascii="宋体" w:hAnsi="宋体" w:cs="宋体"/>
          <w:color w:val="auto"/>
          <w:kern w:val="0"/>
          <w:szCs w:val="21"/>
          <w:lang w:eastAsia="zh-CN"/>
        </w:rPr>
        <w:t>【经济要闻】</w:t>
      </w:r>
    </w:p>
    <w:p>
      <w:pPr>
        <w:rPr>
          <w:color w:val="auto"/>
        </w:rPr>
      </w:pPr>
      <w:bookmarkStart w:id="0" w:name="_GoBack"/>
      <w:bookmarkEnd w:id="0"/>
    </w:p>
    <w:p>
      <w:pPr>
        <w:jc w:val="left"/>
        <w:rPr>
          <w:rFonts w:hint="eastAsia"/>
          <w:color w:val="auto"/>
        </w:rPr>
      </w:pPr>
    </w:p>
    <w:p>
      <w:pPr>
        <w:jc w:val="left"/>
        <w:rPr>
          <w:rFonts w:hint="eastAsia"/>
          <w:color w:val="auto"/>
        </w:rPr>
      </w:pPr>
    </w:p>
    <w:p>
      <w:pPr>
        <w:jc w:val="left"/>
        <w:rPr>
          <w:rFonts w:hint="eastAsia"/>
          <w:color w:val="auto"/>
        </w:rPr>
      </w:pPr>
    </w:p>
    <w:p>
      <w:pPr>
        <w:jc w:val="left"/>
        <w:rPr>
          <w:rFonts w:hint="eastAsia"/>
          <w:color w:val="auto"/>
        </w:rPr>
      </w:pPr>
      <w:r>
        <w:rPr>
          <w:rFonts w:hint="eastAsia"/>
          <w:color w:val="auto"/>
        </w:rPr>
        <w:t>【国际宏观基本面信息】</w:t>
      </w:r>
    </w:p>
    <w:p>
      <w:pPr>
        <w:jc w:val="left"/>
        <w:rPr>
          <w:rFonts w:hint="eastAsia"/>
          <w:color w:val="auto"/>
        </w:rPr>
      </w:pPr>
      <w:r>
        <w:rPr>
          <w:rFonts w:hint="eastAsia"/>
          <w:color w:val="auto"/>
        </w:rPr>
        <w:t>1  数据显示，欧元区5月PPI同比录得36.3%，低于预期的36.6%和前值 37.2%。此外，5月PPI环比录得0.7%，低于预期的0.9%和前值 1.2%。</w:t>
      </w:r>
    </w:p>
    <w:p>
      <w:pPr>
        <w:jc w:val="left"/>
        <w:rPr>
          <w:rFonts w:hint="eastAsia"/>
          <w:color w:val="auto"/>
        </w:rPr>
      </w:pPr>
    </w:p>
    <w:p>
      <w:pPr>
        <w:jc w:val="left"/>
        <w:rPr>
          <w:rFonts w:hint="eastAsia"/>
          <w:color w:val="auto"/>
        </w:rPr>
      </w:pPr>
      <w:r>
        <w:rPr>
          <w:rFonts w:hint="eastAsia"/>
          <w:color w:val="auto"/>
        </w:rPr>
        <w:t>【国内宏观基本面信息】</w:t>
      </w:r>
    </w:p>
    <w:p>
      <w:pPr>
        <w:jc w:val="left"/>
        <w:rPr>
          <w:rFonts w:hint="eastAsia"/>
          <w:color w:val="auto"/>
        </w:rPr>
      </w:pPr>
      <w:r>
        <w:rPr>
          <w:rFonts w:hint="eastAsia"/>
          <w:color w:val="auto"/>
        </w:rPr>
        <w:t>1 中国人民银行与香港金融管理局签署常备互换协议并扩大规模</w:t>
      </w:r>
    </w:p>
    <w:p>
      <w:pPr>
        <w:jc w:val="left"/>
        <w:rPr>
          <w:rFonts w:hint="eastAsia"/>
          <w:color w:val="auto"/>
        </w:rPr>
      </w:pPr>
      <w:r>
        <w:rPr>
          <w:rFonts w:hint="eastAsia"/>
          <w:color w:val="auto"/>
        </w:rPr>
        <w:t>2  发改委：将适时采取储备调节、供需调节等措施，防范生猪价格过快上涨</w:t>
      </w:r>
    </w:p>
    <w:p>
      <w:pPr>
        <w:jc w:val="left"/>
        <w:rPr>
          <w:rFonts w:hint="eastAsia"/>
          <w:color w:val="auto"/>
        </w:rPr>
      </w:pPr>
    </w:p>
    <w:p>
      <w:pPr>
        <w:jc w:val="left"/>
        <w:rPr>
          <w:rFonts w:hint="eastAsia"/>
          <w:color w:val="auto"/>
        </w:rPr>
      </w:pPr>
      <w:r>
        <w:rPr>
          <w:rFonts w:hint="eastAsia"/>
          <w:color w:val="auto"/>
        </w:rPr>
        <w:t>【当日重要经济数据】</w:t>
      </w:r>
    </w:p>
    <w:p>
      <w:pPr>
        <w:jc w:val="left"/>
        <w:rPr>
          <w:rFonts w:hint="eastAsia"/>
          <w:color w:val="auto"/>
        </w:rPr>
      </w:pPr>
      <w:r>
        <w:rPr>
          <w:rFonts w:hint="eastAsia"/>
          <w:color w:val="auto"/>
        </w:rPr>
        <w:t>09:45</w:t>
      </w:r>
      <w:r>
        <w:rPr>
          <w:rFonts w:hint="eastAsia"/>
          <w:color w:val="auto"/>
        </w:rPr>
        <w:tab/>
      </w:r>
      <w:r>
        <w:rPr>
          <w:rFonts w:hint="eastAsia"/>
          <w:color w:val="auto"/>
        </w:rPr>
        <w:t>中国6月财新服务业PMI</w:t>
      </w:r>
      <w:r>
        <w:rPr>
          <w:rFonts w:hint="eastAsia"/>
          <w:color w:val="auto"/>
        </w:rPr>
        <w:tab/>
      </w:r>
      <w:r>
        <w:rPr>
          <w:rFonts w:hint="eastAsia"/>
          <w:color w:val="auto"/>
        </w:rPr>
        <w:t>41.4</w:t>
      </w:r>
      <w:r>
        <w:rPr>
          <w:rFonts w:hint="eastAsia"/>
          <w:color w:val="auto"/>
        </w:rPr>
        <w:tab/>
      </w:r>
      <w:r>
        <w:rPr>
          <w:rFonts w:hint="eastAsia"/>
          <w:color w:val="auto"/>
        </w:rPr>
        <w:t>49</w:t>
      </w:r>
    </w:p>
    <w:p>
      <w:pPr>
        <w:jc w:val="left"/>
        <w:rPr>
          <w:rFonts w:hint="eastAsia"/>
          <w:color w:val="auto"/>
        </w:rPr>
      </w:pPr>
      <w:r>
        <w:rPr>
          <w:rFonts w:hint="eastAsia"/>
          <w:color w:val="auto"/>
        </w:rPr>
        <w:t>22:00</w:t>
      </w:r>
      <w:r>
        <w:rPr>
          <w:rFonts w:hint="eastAsia"/>
          <w:color w:val="auto"/>
        </w:rPr>
        <w:tab/>
      </w:r>
      <w:r>
        <w:rPr>
          <w:rFonts w:hint="eastAsia"/>
          <w:color w:val="auto"/>
        </w:rPr>
        <w:t>美国5月耐用品订单月率修正值(%)</w:t>
      </w:r>
      <w:r>
        <w:rPr>
          <w:rFonts w:hint="eastAsia"/>
          <w:color w:val="auto"/>
        </w:rPr>
        <w:tab/>
      </w:r>
      <w:r>
        <w:rPr>
          <w:rFonts w:hint="eastAsia"/>
          <w:color w:val="auto"/>
        </w:rPr>
        <w:t>0.7</w:t>
      </w:r>
      <w:r>
        <w:rPr>
          <w:rFonts w:hint="eastAsia"/>
          <w:color w:val="auto"/>
        </w:rPr>
        <w:tab/>
      </w:r>
      <w:r>
        <w:rPr>
          <w:rFonts w:hint="eastAsia"/>
          <w:color w:val="auto"/>
        </w:rPr>
        <w:t>0.7</w:t>
      </w:r>
    </w:p>
    <w:p>
      <w:pPr>
        <w:jc w:val="left"/>
        <w:rPr>
          <w:rFonts w:hint="eastAsia"/>
          <w:color w:val="auto"/>
        </w:rPr>
      </w:pPr>
      <w:r>
        <w:rPr>
          <w:rFonts w:hint="eastAsia"/>
          <w:color w:val="auto"/>
        </w:rPr>
        <w:t>美国5月工厂订单月率(%)</w:t>
      </w:r>
      <w:r>
        <w:rPr>
          <w:rFonts w:hint="eastAsia"/>
          <w:color w:val="auto"/>
        </w:rPr>
        <w:tab/>
      </w:r>
      <w:r>
        <w:rPr>
          <w:rFonts w:hint="eastAsia"/>
          <w:color w:val="auto"/>
        </w:rPr>
        <w:t>0.3</w:t>
      </w:r>
      <w:r>
        <w:rPr>
          <w:rFonts w:hint="eastAsia"/>
          <w:color w:val="auto"/>
        </w:rPr>
        <w:tab/>
      </w:r>
      <w:r>
        <w:rPr>
          <w:rFonts w:hint="eastAsia"/>
          <w:color w:val="auto"/>
        </w:rPr>
        <w:t>0.5</w:t>
      </w:r>
      <w:r>
        <w:rPr>
          <w:rFonts w:hint="eastAsia"/>
          <w:color w:val="auto"/>
        </w:rPr>
        <w:tab/>
      </w:r>
    </w:p>
    <w:p>
      <w:pPr>
        <w:jc w:val="left"/>
        <w:rPr>
          <w:rFonts w:hint="eastAsia"/>
          <w:color w:val="auto"/>
        </w:rPr>
      </w:pPr>
    </w:p>
    <w:p>
      <w:pPr>
        <w:jc w:val="left"/>
        <w:rPr>
          <w:rFonts w:hint="eastAsia"/>
          <w:color w:val="auto"/>
        </w:rPr>
      </w:pPr>
      <w:r>
        <w:rPr>
          <w:rFonts w:hint="eastAsia"/>
          <w:color w:val="auto"/>
        </w:rPr>
        <w:t>【证券指数思路】</w:t>
      </w:r>
    </w:p>
    <w:p>
      <w:pPr>
        <w:jc w:val="left"/>
        <w:rPr>
          <w:rFonts w:hint="eastAsia"/>
          <w:color w:val="auto"/>
        </w:rPr>
      </w:pPr>
      <w:r>
        <w:rPr>
          <w:rFonts w:hint="eastAsia"/>
          <w:color w:val="auto"/>
        </w:rPr>
        <w:t xml:space="preserve">    指数低开，午后上扬，截至收盘，沪指涨0.53%，报3405.43点，深成指涨1.29%，报13026.25点，创业板指涨1.9%，报2834.69点，科创50指数涨0.56%。沪深两市合计成交额11304.8亿元，为连续第8个交易日超1万亿元；北向资金实际净买入45.01亿元。</w:t>
      </w:r>
    </w:p>
    <w:p>
      <w:pPr>
        <w:jc w:val="left"/>
        <w:rPr>
          <w:rFonts w:hint="eastAsia"/>
          <w:color w:val="auto"/>
        </w:rPr>
      </w:pPr>
      <w:r>
        <w:rPr>
          <w:rFonts w:hint="eastAsia"/>
          <w:color w:val="auto"/>
        </w:rPr>
        <w:t xml:space="preserve">   市场连续上行后3400点区域遇阻，指数迎来高位震荡。整体上依旧保持震荡结构，上有压力下有支撑。短期需继续留意量能，后续依旧是关键。</w:t>
      </w:r>
    </w:p>
    <w:p>
      <w:pPr>
        <w:jc w:val="left"/>
        <w:rPr>
          <w:rFonts w:hint="eastAsia"/>
          <w:color w:val="auto"/>
          <w:lang w:val="en-US" w:eastAsia="zh-CN"/>
        </w:rPr>
      </w:pPr>
    </w:p>
    <w:p>
      <w:pPr>
        <w:jc w:val="left"/>
        <w:rPr>
          <w:rFonts w:hint="eastAsia"/>
          <w:color w:val="auto"/>
          <w:lang w:val="en-US" w:eastAsia="zh-CN"/>
        </w:rPr>
      </w:pPr>
    </w:p>
    <w:p>
      <w:pPr>
        <w:jc w:val="left"/>
        <w:rPr>
          <w:rFonts w:hint="eastAsia"/>
          <w:color w:val="auto"/>
          <w:lang w:val="en-US" w:eastAsia="zh-CN"/>
        </w:rPr>
      </w:pPr>
    </w:p>
    <w:p>
      <w:pPr>
        <w:jc w:val="left"/>
        <w:rPr>
          <w:rFonts w:hint="default"/>
          <w:color w:val="auto"/>
          <w:lang w:val="en-US" w:eastAsia="zh-CN"/>
        </w:rPr>
      </w:pPr>
    </w:p>
    <w:p>
      <w:pPr>
        <w:jc w:val="center"/>
        <w:rPr>
          <w:rFonts w:ascii="宋体" w:hAnsi="宋体" w:cs="宋体"/>
          <w:color w:val="auto"/>
          <w:kern w:val="0"/>
          <w:szCs w:val="21"/>
          <w:lang w:eastAsia="zh-CN"/>
        </w:rPr>
      </w:pPr>
      <w:r>
        <w:rPr>
          <w:rFonts w:hint="eastAsia" w:ascii="宋体" w:hAnsi="宋体" w:cs="宋体"/>
          <w:color w:val="auto"/>
          <w:kern w:val="0"/>
          <w:szCs w:val="21"/>
          <w:lang w:eastAsia="zh-CN"/>
        </w:rPr>
        <w:t>【分品种动态】</w:t>
      </w:r>
    </w:p>
    <w:p>
      <w:pPr>
        <w:jc w:val="both"/>
        <w:rPr>
          <w:rFonts w:ascii="黑体" w:eastAsia="黑体" w:cs="宋体"/>
          <w:color w:val="auto"/>
          <w:szCs w:val="21"/>
        </w:rPr>
      </w:pPr>
    </w:p>
    <w:p>
      <w:pPr>
        <w:rPr>
          <w:rFonts w:ascii="黑体" w:eastAsia="黑体" w:cs="宋体"/>
          <w:color w:val="auto"/>
          <w:szCs w:val="21"/>
        </w:rPr>
      </w:pPr>
    </w:p>
    <w:p>
      <w:pPr>
        <w:widowControl/>
        <w:jc w:val="left"/>
        <w:rPr>
          <w:color w:val="auto"/>
          <w:szCs w:val="21"/>
        </w:rPr>
      </w:pPr>
      <w:r>
        <w:rPr>
          <w:rFonts w:hint="eastAsia" w:ascii="黑体" w:eastAsia="黑体" w:cs="黑体"/>
          <w:color w:val="auto"/>
          <w:szCs w:val="21"/>
        </w:rPr>
        <w:t>◆农产品</w:t>
      </w:r>
    </w:p>
    <w:tbl>
      <w:tblPr>
        <w:tblStyle w:val="4"/>
        <w:tblW w:w="9004" w:type="dxa"/>
        <w:tblInd w:w="-15" w:type="dxa"/>
        <w:tblLayout w:type="fixed"/>
        <w:tblCellMar>
          <w:top w:w="0" w:type="dxa"/>
          <w:left w:w="108" w:type="dxa"/>
          <w:bottom w:w="0" w:type="dxa"/>
          <w:right w:w="108" w:type="dxa"/>
        </w:tblCellMar>
      </w:tblPr>
      <w:tblGrid>
        <w:gridCol w:w="549"/>
        <w:gridCol w:w="6405"/>
        <w:gridCol w:w="2050"/>
      </w:tblGrid>
      <w:tr>
        <w:tblPrEx>
          <w:tblCellMar>
            <w:top w:w="0" w:type="dxa"/>
            <w:left w:w="108" w:type="dxa"/>
            <w:bottom w:w="0" w:type="dxa"/>
            <w:right w:w="108" w:type="dxa"/>
          </w:tblCellMar>
        </w:tblPrEx>
        <w:trPr>
          <w:trHeight w:val="507" w:hRule="atLeast"/>
        </w:trPr>
        <w:tc>
          <w:tcPr>
            <w:tcW w:w="549" w:type="dxa"/>
            <w:tcBorders>
              <w:top w:val="single" w:color="000000" w:sz="4" w:space="0"/>
              <w:left w:val="single" w:color="000000" w:sz="4" w:space="0"/>
              <w:bottom w:val="single" w:color="000000" w:sz="4" w:space="0"/>
              <w:right w:val="nil"/>
            </w:tcBorders>
          </w:tcPr>
          <w:p>
            <w:pPr>
              <w:widowControl/>
              <w:snapToGrid w:val="0"/>
              <w:jc w:val="left"/>
              <w:rPr>
                <w:rFonts w:ascii="宋体" w:hAnsi="宋体"/>
                <w:color w:val="auto"/>
                <w:szCs w:val="21"/>
              </w:rPr>
            </w:pPr>
          </w:p>
        </w:tc>
        <w:tc>
          <w:tcPr>
            <w:tcW w:w="6405" w:type="dxa"/>
            <w:tcBorders>
              <w:top w:val="single" w:color="000000" w:sz="4" w:space="0"/>
              <w:left w:val="single" w:color="000000" w:sz="4" w:space="0"/>
              <w:bottom w:val="single" w:color="000000" w:sz="4" w:space="0"/>
              <w:right w:val="nil"/>
            </w:tcBorders>
            <w:vAlign w:val="center"/>
          </w:tcPr>
          <w:p>
            <w:pPr>
              <w:widowControl/>
              <w:rPr>
                <w:rFonts w:ascii="宋体" w:hAnsi="宋体" w:cs="宋体"/>
                <w:b/>
                <w:color w:val="auto"/>
                <w:szCs w:val="21"/>
              </w:rPr>
            </w:pPr>
            <w:r>
              <w:rPr>
                <w:rFonts w:hint="eastAsia" w:ascii="宋体" w:hAnsi="宋体" w:cs="宋体"/>
                <w:b/>
                <w:color w:val="auto"/>
                <w:szCs w:val="21"/>
              </w:rPr>
              <w:t>内外盘综述</w:t>
            </w:r>
          </w:p>
        </w:tc>
        <w:tc>
          <w:tcPr>
            <w:tcW w:w="2050" w:type="dxa"/>
            <w:tcBorders>
              <w:top w:val="single" w:color="000000" w:sz="4" w:space="0"/>
              <w:left w:val="single" w:color="000000" w:sz="4" w:space="0"/>
              <w:bottom w:val="single" w:color="000000" w:sz="4" w:space="0"/>
              <w:right w:val="single" w:color="000000" w:sz="4" w:space="0"/>
            </w:tcBorders>
            <w:vAlign w:val="center"/>
          </w:tcPr>
          <w:p>
            <w:pPr>
              <w:widowControl/>
              <w:rPr>
                <w:rFonts w:ascii="宋体" w:hAnsi="宋体"/>
                <w:b/>
                <w:color w:val="auto"/>
                <w:szCs w:val="21"/>
              </w:rPr>
            </w:pPr>
            <w:r>
              <w:rPr>
                <w:rFonts w:hint="eastAsia" w:ascii="宋体" w:hAnsi="宋体" w:cs="宋体"/>
                <w:b/>
                <w:color w:val="auto"/>
                <w:szCs w:val="21"/>
              </w:rPr>
              <w:t>简评及操作策略</w:t>
            </w:r>
          </w:p>
        </w:tc>
      </w:tr>
      <w:tr>
        <w:tblPrEx>
          <w:tblCellMar>
            <w:top w:w="0" w:type="dxa"/>
            <w:left w:w="108" w:type="dxa"/>
            <w:bottom w:w="0" w:type="dxa"/>
            <w:right w:w="108" w:type="dxa"/>
          </w:tblCellMar>
        </w:tblPrEx>
        <w:trPr>
          <w:trHeight w:val="669" w:hRule="atLeast"/>
        </w:trPr>
        <w:tc>
          <w:tcPr>
            <w:tcW w:w="549" w:type="dxa"/>
            <w:tcBorders>
              <w:top w:val="single" w:color="000000" w:sz="4" w:space="0"/>
              <w:left w:val="single" w:color="000000" w:sz="4" w:space="0"/>
              <w:bottom w:val="single" w:color="000000" w:sz="4" w:space="0"/>
              <w:right w:val="nil"/>
            </w:tcBorders>
          </w:tcPr>
          <w:p>
            <w:pPr>
              <w:widowControl/>
              <w:snapToGrid w:val="0"/>
              <w:jc w:val="left"/>
              <w:rPr>
                <w:rFonts w:ascii="宋体" w:hAnsi="宋体" w:cs="宋体"/>
                <w:b/>
                <w:color w:val="auto"/>
                <w:kern w:val="0"/>
                <w:szCs w:val="21"/>
                <w:lang w:eastAsia="zh-CN"/>
              </w:rPr>
            </w:pPr>
            <w:r>
              <w:rPr>
                <w:rFonts w:hint="eastAsia" w:ascii="宋体" w:hAnsi="宋体" w:cs="宋体"/>
                <w:b/>
                <w:color w:val="auto"/>
                <w:kern w:val="0"/>
                <w:szCs w:val="21"/>
                <w:lang w:eastAsia="zh-CN"/>
              </w:rPr>
              <w:t>豆粕</w:t>
            </w:r>
          </w:p>
        </w:tc>
        <w:tc>
          <w:tcPr>
            <w:tcW w:w="6405" w:type="dxa"/>
            <w:tcBorders>
              <w:top w:val="single" w:color="000000" w:sz="4" w:space="0"/>
              <w:left w:val="single" w:color="000000" w:sz="4" w:space="0"/>
              <w:bottom w:val="single" w:color="000000" w:sz="4" w:space="0"/>
              <w:right w:val="nil"/>
            </w:tcBorders>
          </w:tcPr>
          <w:p>
            <w:pPr>
              <w:ind w:firstLine="840" w:firstLineChars="400"/>
              <w:rPr>
                <w:rFonts w:hint="default" w:eastAsia="宋体"/>
                <w:color w:val="auto"/>
                <w:lang w:val="en-US" w:eastAsia="zh-CN"/>
              </w:rPr>
            </w:pPr>
            <w:r>
              <w:rPr>
                <w:rFonts w:hint="eastAsia"/>
                <w:color w:val="auto"/>
              </w:rPr>
              <w:t>隔夜外围美金融市场因独立日假期休市。早盘电子盘美元收涨于105.19部位；人民币离岸价稳定在6.693。欧洲股市受石油和天热气板块带动而上涨，但在欧央行决定自本月加息前，市场人气受到抑制。国际油价涨超2%，尽管市场一方面因供应方面的担忧而保持上涨，尤其是利比亚减产和挪威的预期罢工，但通胀上升、美元走强和制造业数据走弱则会抑制油价上涨。美CBOT市场修市。大连盘夜盘保持波动。</w:t>
            </w:r>
          </w:p>
        </w:tc>
        <w:tc>
          <w:tcPr>
            <w:tcW w:w="2050" w:type="dxa"/>
            <w:tcBorders>
              <w:top w:val="single" w:color="000000" w:sz="4" w:space="0"/>
              <w:left w:val="single" w:color="000000" w:sz="4" w:space="0"/>
              <w:bottom w:val="single" w:color="000000" w:sz="4" w:space="0"/>
              <w:right w:val="single" w:color="000000" w:sz="4" w:space="0"/>
            </w:tcBorders>
          </w:tcPr>
          <w:p>
            <w:pPr>
              <w:widowControl/>
              <w:suppressAutoHyphens w:val="0"/>
              <w:jc w:val="left"/>
              <w:rPr>
                <w:rFonts w:hint="eastAsia"/>
                <w:b/>
                <w:color w:val="auto"/>
                <w:lang w:eastAsia="zh-CN"/>
              </w:rPr>
            </w:pPr>
            <w:r>
              <w:rPr>
                <w:rFonts w:hint="eastAsia"/>
                <w:b/>
                <w:color w:val="auto"/>
                <w:lang w:eastAsia="zh-CN"/>
              </w:rPr>
              <w:t>9月油粕比回撤至2.46；粕9－1逆差做扩至235点。粕9白盘宜关注美电子盘开市指引，日内参考围绕3800的波动，宜灵活。</w:t>
            </w:r>
          </w:p>
          <w:p>
            <w:pPr>
              <w:widowControl/>
              <w:suppressAutoHyphens w:val="0"/>
              <w:jc w:val="left"/>
              <w:rPr>
                <w:rFonts w:hint="eastAsia"/>
                <w:b/>
                <w:color w:val="auto"/>
                <w:lang w:eastAsia="zh-CN"/>
              </w:rPr>
            </w:pPr>
          </w:p>
          <w:p>
            <w:pPr>
              <w:widowControl/>
              <w:suppressAutoHyphens w:val="0"/>
              <w:jc w:val="left"/>
              <w:rPr>
                <w:b/>
                <w:color w:val="auto"/>
                <w:lang w:eastAsia="zh-CN"/>
              </w:rPr>
            </w:pPr>
            <w:r>
              <w:rPr>
                <w:rFonts w:hint="eastAsia"/>
                <w:b/>
                <w:color w:val="auto"/>
                <w:lang w:eastAsia="zh-CN"/>
              </w:rPr>
              <w:t>（农产品部）</w:t>
            </w:r>
          </w:p>
        </w:tc>
      </w:tr>
      <w:tr>
        <w:tblPrEx>
          <w:tblCellMar>
            <w:top w:w="0" w:type="dxa"/>
            <w:left w:w="108" w:type="dxa"/>
            <w:bottom w:w="0" w:type="dxa"/>
            <w:right w:w="108" w:type="dxa"/>
          </w:tblCellMar>
        </w:tblPrEx>
        <w:trPr>
          <w:trHeight w:val="669" w:hRule="atLeast"/>
        </w:trPr>
        <w:tc>
          <w:tcPr>
            <w:tcW w:w="549" w:type="dxa"/>
            <w:tcBorders>
              <w:top w:val="single" w:color="000000" w:sz="4" w:space="0"/>
              <w:left w:val="single" w:color="000000" w:sz="4" w:space="0"/>
              <w:bottom w:val="single" w:color="000000" w:sz="4" w:space="0"/>
              <w:right w:val="nil"/>
            </w:tcBorders>
            <w:vAlign w:val="top"/>
          </w:tcPr>
          <w:p>
            <w:pPr>
              <w:widowControl/>
              <w:snapToGrid w:val="0"/>
              <w:jc w:val="left"/>
              <w:rPr>
                <w:rFonts w:hint="default" w:ascii="宋体" w:hAnsi="宋体" w:eastAsia="宋体" w:cs="宋体"/>
                <w:b/>
                <w:color w:val="auto"/>
                <w:kern w:val="0"/>
                <w:sz w:val="21"/>
                <w:szCs w:val="21"/>
                <w:lang w:val="en-US" w:eastAsia="zh-CN" w:bidi="ar-SA"/>
              </w:rPr>
            </w:pPr>
            <w:r>
              <w:rPr>
                <w:rFonts w:hint="eastAsia" w:ascii="宋体" w:hAnsi="宋体" w:cs="宋体"/>
                <w:b/>
                <w:color w:val="auto"/>
                <w:kern w:val="0"/>
                <w:sz w:val="21"/>
                <w:szCs w:val="21"/>
                <w:lang w:val="en-US" w:eastAsia="zh-CN" w:bidi="ar-SA"/>
              </w:rPr>
              <w:t>棉花</w:t>
            </w:r>
          </w:p>
        </w:tc>
        <w:tc>
          <w:tcPr>
            <w:tcW w:w="6405" w:type="dxa"/>
            <w:tcBorders>
              <w:top w:val="single" w:color="000000" w:sz="4" w:space="0"/>
              <w:left w:val="single" w:color="000000" w:sz="4" w:space="0"/>
              <w:bottom w:val="single" w:color="000000" w:sz="4" w:space="0"/>
              <w:right w:val="nil"/>
            </w:tcBorders>
            <w:vAlign w:val="top"/>
          </w:tcPr>
          <w:p>
            <w:pPr>
              <w:ind w:firstLine="840" w:firstLineChars="400"/>
              <w:rPr>
                <w:rFonts w:hint="eastAsia" w:ascii="Times New Roman" w:hAnsi="Times New Roman" w:eastAsia="宋体" w:cs="Times New Roman"/>
                <w:color w:val="auto"/>
                <w:kern w:val="2"/>
                <w:sz w:val="21"/>
                <w:lang w:val="en-US" w:eastAsia="zh-CN" w:bidi="ar-SA"/>
              </w:rPr>
            </w:pPr>
            <w:r>
              <w:rPr>
                <w:rFonts w:hint="eastAsia"/>
                <w:color w:val="auto"/>
              </w:rPr>
              <w:t>独立日，美棉休市。郑棉弱势，9月合约价格17265元，现货价格在18172元。据印度相关机构数据，截至7月1日印度全国植棉面积达640.8万公顷（9612万亩），植棉进度同比领先约4%，整体处于近年较快水平。  具体从各棉区植棉情况来看，北部棉区新棉播种已基本完成，同比落后约1%；中部棉区植棉进度同比领先约6%；南部棉区植棉进度同比领先约5%。其中马哈拉施特拉同比扩种明显，目前播种面积约236.5万公顷（3547万亩），植棉进度同比领先21%。近两周原料市场大幅下跌，下游下单多谨慎观望，尤其是高支纱订单稀缺，使得纱厂成品库存又有增加的态势。周末纱线报价弱势下跌，纱厂开工率仍然维持偏低水平。关于接下来的的行情，一些业内人士仍较为悲观，一方面国际行势仍不容乐观，另一方面疫情的不确定性仍在，而且目前市场订单仍无明显改观，也有一些人认为低价下需求或逐渐出现些好转。有纱厂看行情止跌，逐步增加采购来摊平成本，但表示目前部分大贸易商仍封盘不卖，个别小贸易商部分资源存在货权问题，市场可选择性不多。综上，国内疫情散点爆发，棉价弱势运行，等待淡季过去，也等待外围价格给于引导。</w:t>
            </w:r>
          </w:p>
        </w:tc>
        <w:tc>
          <w:tcPr>
            <w:tcW w:w="2050" w:type="dxa"/>
            <w:tcBorders>
              <w:top w:val="single" w:color="000000" w:sz="4" w:space="0"/>
              <w:left w:val="single" w:color="000000" w:sz="4" w:space="0"/>
              <w:bottom w:val="single" w:color="000000" w:sz="4" w:space="0"/>
              <w:right w:val="single" w:color="000000" w:sz="4" w:space="0"/>
            </w:tcBorders>
            <w:vAlign w:val="top"/>
          </w:tcPr>
          <w:p>
            <w:pPr>
              <w:widowControl/>
              <w:suppressAutoHyphens w:val="0"/>
              <w:jc w:val="left"/>
              <w:rPr>
                <w:rFonts w:hint="eastAsia" w:ascii="Times New Roman" w:hAnsi="Times New Roman" w:eastAsia="宋体" w:cs="Times New Roman"/>
                <w:b/>
                <w:color w:val="auto"/>
                <w:kern w:val="2"/>
                <w:sz w:val="21"/>
                <w:lang w:val="en-US" w:eastAsia="zh-CN" w:bidi="ar-SA"/>
              </w:rPr>
            </w:pPr>
            <w:r>
              <w:rPr>
                <w:rFonts w:hint="eastAsia"/>
                <w:b/>
                <w:color w:val="auto"/>
                <w:lang w:eastAsia="zh-CN"/>
              </w:rPr>
              <w:t>操作上，观望，不追空。（</w:t>
            </w:r>
            <w:r>
              <w:rPr>
                <w:rFonts w:hint="eastAsia"/>
                <w:b/>
                <w:color w:val="auto"/>
                <w:lang w:val="en-US" w:eastAsia="zh-CN"/>
              </w:rPr>
              <w:t>苗玲</w:t>
            </w:r>
            <w:r>
              <w:rPr>
                <w:rFonts w:hint="eastAsia"/>
                <w:b/>
                <w:color w:val="auto"/>
                <w:lang w:eastAsia="zh-CN"/>
              </w:rPr>
              <w:t>）</w:t>
            </w:r>
          </w:p>
        </w:tc>
      </w:tr>
    </w:tbl>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hint="eastAsia" w:ascii="黑体" w:eastAsia="黑体" w:cs="宋体"/>
          <w:color w:val="auto"/>
          <w:szCs w:val="21"/>
        </w:rPr>
      </w:pPr>
    </w:p>
    <w:p>
      <w:pPr>
        <w:widowControl/>
        <w:jc w:val="left"/>
        <w:rPr>
          <w:rFonts w:ascii="黑体" w:eastAsia="黑体" w:cs="宋体"/>
          <w:color w:val="auto"/>
          <w:szCs w:val="21"/>
        </w:rPr>
        <w:sectPr>
          <w:headerReference r:id="rId3" w:type="default"/>
          <w:footerReference r:id="rId4" w:type="default"/>
          <w:pgSz w:w="11906" w:h="16838"/>
          <w:pgMar w:top="907" w:right="1797" w:bottom="1134" w:left="1797" w:header="510" w:footer="992" w:gutter="0"/>
          <w:cols w:space="720" w:num="1"/>
          <w:docGrid w:type="lines" w:linePitch="312" w:charSpace="0"/>
        </w:sectPr>
      </w:pPr>
      <w:r>
        <w:rPr>
          <w:rFonts w:hint="eastAsia" w:ascii="黑体" w:eastAsia="黑体" w:cs="宋体"/>
          <w:color w:val="auto"/>
          <w:szCs w:val="21"/>
        </w:rPr>
        <w:t>◆工业品</w:t>
      </w:r>
    </w:p>
    <w:p>
      <w:pPr>
        <w:rPr>
          <w:color w:val="auto"/>
          <w:szCs w:val="21"/>
        </w:rPr>
        <w:sectPr>
          <w:type w:val="continuous"/>
          <w:pgSz w:w="11906" w:h="16838"/>
          <w:pgMar w:top="1440" w:right="1797" w:bottom="1134" w:left="1797" w:header="851" w:footer="992" w:gutter="0"/>
          <w:cols w:space="720" w:num="1"/>
          <w:docGrid w:type="lines" w:linePitch="312" w:charSpace="0"/>
        </w:sectPr>
      </w:pPr>
    </w:p>
    <w:tbl>
      <w:tblPr>
        <w:tblStyle w:val="4"/>
        <w:tblW w:w="8994" w:type="dxa"/>
        <w:tblInd w:w="0" w:type="dxa"/>
        <w:tblLayout w:type="fixed"/>
        <w:tblCellMar>
          <w:top w:w="0" w:type="dxa"/>
          <w:left w:w="108" w:type="dxa"/>
          <w:bottom w:w="0" w:type="dxa"/>
          <w:right w:w="108" w:type="dxa"/>
        </w:tblCellMar>
      </w:tblPr>
      <w:tblGrid>
        <w:gridCol w:w="534"/>
        <w:gridCol w:w="6410"/>
        <w:gridCol w:w="2050"/>
      </w:tblGrid>
      <w:tr>
        <w:tblPrEx>
          <w:tblCellMar>
            <w:top w:w="0" w:type="dxa"/>
            <w:left w:w="108" w:type="dxa"/>
            <w:bottom w:w="0" w:type="dxa"/>
            <w:right w:w="108" w:type="dxa"/>
          </w:tblCellMar>
        </w:tblPrEx>
        <w:trPr>
          <w:cantSplit/>
          <w:trHeight w:val="480" w:hRule="atLeast"/>
        </w:trPr>
        <w:tc>
          <w:tcPr>
            <w:tcW w:w="534" w:type="dxa"/>
            <w:tcBorders>
              <w:top w:val="single" w:color="000000" w:sz="4" w:space="0"/>
              <w:left w:val="single" w:color="000000" w:sz="4" w:space="0"/>
              <w:bottom w:val="single" w:color="000000" w:sz="4" w:space="0"/>
              <w:right w:val="nil"/>
            </w:tcBorders>
          </w:tcPr>
          <w:p>
            <w:pPr>
              <w:widowControl/>
              <w:snapToGrid w:val="0"/>
              <w:jc w:val="left"/>
              <w:rPr>
                <w:rFonts w:ascii="宋体" w:hAnsi="宋体" w:cs="黑体"/>
                <w:color w:val="auto"/>
                <w:szCs w:val="21"/>
              </w:rPr>
            </w:pPr>
          </w:p>
        </w:tc>
        <w:tc>
          <w:tcPr>
            <w:tcW w:w="6410" w:type="dxa"/>
            <w:tcBorders>
              <w:top w:val="single" w:color="000000" w:sz="4" w:space="0"/>
              <w:left w:val="single" w:color="000000" w:sz="4" w:space="0"/>
              <w:bottom w:val="single" w:color="000000" w:sz="4" w:space="0"/>
              <w:right w:val="nil"/>
            </w:tcBorders>
            <w:vAlign w:val="center"/>
          </w:tcPr>
          <w:p>
            <w:pPr>
              <w:rPr>
                <w:rFonts w:ascii="宋体" w:hAnsi="宋体" w:cs="宋体"/>
                <w:b/>
                <w:color w:val="auto"/>
                <w:szCs w:val="21"/>
              </w:rPr>
            </w:pPr>
            <w:r>
              <w:rPr>
                <w:rFonts w:hint="eastAsia" w:ascii="宋体" w:hAnsi="宋体" w:cs="宋体"/>
                <w:b/>
                <w:color w:val="auto"/>
                <w:szCs w:val="21"/>
              </w:rPr>
              <w:t>内外盘综述</w:t>
            </w:r>
          </w:p>
        </w:tc>
        <w:tc>
          <w:tcPr>
            <w:tcW w:w="205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b/>
                <w:color w:val="auto"/>
                <w:szCs w:val="21"/>
              </w:rPr>
            </w:pPr>
            <w:r>
              <w:rPr>
                <w:rFonts w:hint="eastAsia" w:ascii="宋体" w:hAnsi="宋体" w:cs="宋体"/>
                <w:b/>
                <w:color w:val="auto"/>
                <w:szCs w:val="21"/>
              </w:rPr>
              <w:t>简评及操作策略</w:t>
            </w:r>
          </w:p>
        </w:tc>
      </w:tr>
      <w:tr>
        <w:tblPrEx>
          <w:tblCellMar>
            <w:top w:w="0" w:type="dxa"/>
            <w:left w:w="108" w:type="dxa"/>
            <w:bottom w:w="0" w:type="dxa"/>
            <w:right w:w="108" w:type="dxa"/>
          </w:tblCellMar>
        </w:tblPrEx>
        <w:trPr>
          <w:cantSplit/>
          <w:trHeight w:val="2181" w:hRule="atLeast"/>
        </w:trPr>
        <w:tc>
          <w:tcPr>
            <w:tcW w:w="534" w:type="dxa"/>
            <w:tcBorders>
              <w:top w:val="single" w:color="000000" w:sz="4" w:space="0"/>
              <w:left w:val="single" w:color="000000" w:sz="4" w:space="0"/>
              <w:bottom w:val="single" w:color="000000" w:sz="4" w:space="0"/>
              <w:right w:val="nil"/>
            </w:tcBorders>
          </w:tcPr>
          <w:p>
            <w:pPr>
              <w:widowControl/>
              <w:jc w:val="left"/>
              <w:rPr>
                <w:rFonts w:hint="default" w:ascii="宋体" w:hAnsi="宋体" w:cs="宋体"/>
                <w:b/>
                <w:color w:val="auto"/>
                <w:kern w:val="0"/>
                <w:szCs w:val="21"/>
                <w:lang w:val="en-US" w:eastAsia="zh-CN"/>
              </w:rPr>
            </w:pPr>
            <w:r>
              <w:rPr>
                <w:rFonts w:hint="eastAsia" w:ascii="宋体" w:hAnsi="宋体" w:cs="宋体"/>
                <w:b/>
                <w:color w:val="auto"/>
                <w:kern w:val="0"/>
                <w:szCs w:val="21"/>
                <w:lang w:val="en-US" w:eastAsia="zh-CN"/>
              </w:rPr>
              <w:t>钢材</w:t>
            </w:r>
          </w:p>
        </w:tc>
        <w:tc>
          <w:tcPr>
            <w:tcW w:w="6410" w:type="dxa"/>
            <w:tcBorders>
              <w:top w:val="single" w:color="000000" w:sz="4" w:space="0"/>
              <w:left w:val="single" w:color="000000" w:sz="4" w:space="0"/>
              <w:bottom w:val="single" w:color="000000" w:sz="4" w:space="0"/>
              <w:right w:val="nil"/>
            </w:tcBorders>
          </w:tcPr>
          <w:p>
            <w:pPr>
              <w:widowControl/>
              <w:suppressAutoHyphens w:val="0"/>
              <w:ind w:firstLine="630" w:firstLineChars="300"/>
              <w:jc w:val="left"/>
              <w:rPr>
                <w:rFonts w:hint="eastAsia"/>
                <w:color w:val="auto"/>
              </w:rPr>
            </w:pPr>
            <w:r>
              <w:rPr>
                <w:rFonts w:hint="eastAsia"/>
                <w:color w:val="auto"/>
              </w:rPr>
              <w:t>钢材价格周一白盘回落夜盘小幅回弹，螺纹2210合约收于4199，热卷2210合约收于4198。现货方面，4日唐山普方坯出厂价报3900（-40），上海地区螺纹钢现货价格(HRB400 20mm)4230元（-80），热卷现货价格(4.75mm)4220元（-130）。</w:t>
            </w:r>
          </w:p>
          <w:p>
            <w:pPr>
              <w:widowControl/>
              <w:suppressAutoHyphens w:val="0"/>
              <w:ind w:firstLine="630" w:firstLineChars="300"/>
              <w:jc w:val="left"/>
              <w:rPr>
                <w:rFonts w:hint="eastAsia"/>
                <w:color w:val="auto"/>
              </w:rPr>
            </w:pPr>
            <w:r>
              <w:rPr>
                <w:rFonts w:hint="eastAsia"/>
                <w:color w:val="auto"/>
              </w:rPr>
              <w:t xml:space="preserve"> 6月全球制造业PMI指数为52.3，较上月下降了0.1个百分点；美国ISM制造业PMI由上月的56.1下降3.1个点至53，低于54.5的市场预期；欧元区PMI终值为52.1，预期52，前值52；英国PMI为52.8，为2020年6月以来新低。新兴国家读数出现分化，PMI指数升至51.7，时隔三个月再次站上荣枯线。</w:t>
            </w:r>
          </w:p>
          <w:p>
            <w:pPr>
              <w:widowControl/>
              <w:suppressAutoHyphens w:val="0"/>
              <w:ind w:firstLine="630" w:firstLineChars="300"/>
              <w:jc w:val="left"/>
              <w:rPr>
                <w:rFonts w:hint="eastAsia"/>
                <w:color w:val="auto"/>
              </w:rPr>
            </w:pPr>
            <w:r>
              <w:rPr>
                <w:rFonts w:hint="eastAsia"/>
                <w:color w:val="auto"/>
              </w:rPr>
              <w:t>中指数据显示，5月份至6月份，重点100城新建商品住宅成交面积同比降幅持续收窄；再从环比数据看，100城新建商品住宅成交面积已在5月份出现环比转增，且6月份环比继续增长。据初步统计，6月份，100城新建商品住宅成交面积环比增幅在五成左右，同比降幅收窄至27%。</w:t>
            </w:r>
          </w:p>
          <w:p>
            <w:pPr>
              <w:widowControl/>
              <w:suppressAutoHyphens w:val="0"/>
              <w:ind w:firstLine="630" w:firstLineChars="300"/>
              <w:jc w:val="left"/>
              <w:rPr>
                <w:rFonts w:hint="eastAsia"/>
                <w:color w:val="auto"/>
              </w:rPr>
            </w:pPr>
            <w:r>
              <w:rPr>
                <w:rFonts w:hint="eastAsia"/>
                <w:color w:val="auto"/>
              </w:rPr>
              <w:t>据Mysteel不完全统计，6月15日至7月4日，全国样本企业共有34座在检高炉、累计容积39000m³，铁水日产量减少10.33万吨；共有22座在检电炉、粗钢日产量减少5.56万吨；共有38条在检轧线、累计影响成材日产量7.72万吨。</w:t>
            </w:r>
          </w:p>
          <w:p>
            <w:pPr>
              <w:widowControl/>
              <w:suppressAutoHyphens w:val="0"/>
              <w:ind w:firstLine="630" w:firstLineChars="300"/>
              <w:jc w:val="left"/>
              <w:rPr>
                <w:rFonts w:hint="eastAsia" w:eastAsia="宋体"/>
                <w:color w:val="auto"/>
                <w:lang w:val="en-US" w:eastAsia="zh-CN"/>
              </w:rPr>
            </w:pPr>
            <w:r>
              <w:rPr>
                <w:rFonts w:hint="eastAsia"/>
                <w:color w:val="auto"/>
              </w:rPr>
              <w:t>黑色系昨日价格继续下跌，原材料领跌钢材跟随，当前国内钢厂减产、海外衰退预期强化的背景下，原材料弱势明显，压低钢材成本重心。供应端看，目前的亏损下钢厂主动的减产还在持续，6月下半月后的减量较为明显，需求端短期内消费小幅回升，钢材库存压力有所减轻。持续弱势的房地产行业，在6月份迎来了销售数据的环比上行，关注其持续性的同时整个行业的恢复仍需较长时间。</w:t>
            </w:r>
          </w:p>
        </w:tc>
        <w:tc>
          <w:tcPr>
            <w:tcW w:w="2050" w:type="dxa"/>
            <w:tcBorders>
              <w:top w:val="single" w:color="000000" w:sz="4" w:space="0"/>
              <w:left w:val="single" w:color="000000" w:sz="4" w:space="0"/>
              <w:bottom w:val="single" w:color="000000" w:sz="4" w:space="0"/>
              <w:right w:val="single" w:color="000000" w:sz="4" w:space="0"/>
            </w:tcBorders>
          </w:tcPr>
          <w:p>
            <w:pPr>
              <w:rPr>
                <w:rFonts w:hint="eastAsia"/>
                <w:b/>
                <w:color w:val="auto"/>
                <w:lang w:eastAsia="zh-CN"/>
              </w:rPr>
            </w:pPr>
            <w:r>
              <w:rPr>
                <w:rFonts w:hint="eastAsia"/>
                <w:b/>
                <w:color w:val="auto"/>
                <w:lang w:eastAsia="zh-CN"/>
              </w:rPr>
              <w:t>短期内消费淡季格局仍然维持，钢材价格预计震荡承压走势，保持观望态势。</w:t>
            </w:r>
          </w:p>
          <w:p>
            <w:pPr>
              <w:rPr>
                <w:rFonts w:hint="eastAsia"/>
                <w:b/>
                <w:color w:val="auto"/>
                <w:lang w:eastAsia="zh-CN"/>
              </w:rPr>
            </w:pPr>
          </w:p>
          <w:p>
            <w:pPr>
              <w:rPr>
                <w:b/>
                <w:color w:val="auto"/>
                <w:lang w:eastAsia="zh-CN"/>
              </w:rPr>
            </w:pPr>
            <w:r>
              <w:rPr>
                <w:rFonts w:hint="eastAsia"/>
                <w:b/>
                <w:color w:val="auto"/>
                <w:lang w:eastAsia="zh-CN"/>
              </w:rPr>
              <w:t>(黄</w:t>
            </w:r>
            <w:r>
              <w:rPr>
                <w:rFonts w:hint="eastAsia"/>
                <w:b/>
                <w:color w:val="auto"/>
                <w:lang w:eastAsia="zh-CN"/>
              </w:rPr>
              <w:t>天罡)</w:t>
            </w:r>
          </w:p>
        </w:tc>
      </w:tr>
      <w:tr>
        <w:tblPrEx>
          <w:tblCellMar>
            <w:top w:w="0" w:type="dxa"/>
            <w:left w:w="108" w:type="dxa"/>
            <w:bottom w:w="0" w:type="dxa"/>
            <w:right w:w="108" w:type="dxa"/>
          </w:tblCellMar>
        </w:tblPrEx>
        <w:trPr>
          <w:cantSplit/>
          <w:trHeight w:val="2181" w:hRule="atLeast"/>
        </w:trPr>
        <w:tc>
          <w:tcPr>
            <w:tcW w:w="534" w:type="dxa"/>
            <w:tcBorders>
              <w:top w:val="single" w:color="000000" w:sz="4" w:space="0"/>
              <w:left w:val="single" w:color="000000" w:sz="4" w:space="0"/>
              <w:bottom w:val="single" w:color="000000" w:sz="4" w:space="0"/>
              <w:right w:val="nil"/>
            </w:tcBorders>
          </w:tcPr>
          <w:p>
            <w:pPr>
              <w:widowControl/>
              <w:jc w:val="left"/>
              <w:rPr>
                <w:rFonts w:ascii="宋体" w:hAnsi="宋体" w:cs="宋体"/>
                <w:b/>
                <w:color w:val="auto"/>
                <w:kern w:val="0"/>
                <w:szCs w:val="21"/>
                <w:lang w:eastAsia="zh-CN"/>
              </w:rPr>
            </w:pPr>
            <w:r>
              <w:rPr>
                <w:rFonts w:hint="eastAsia" w:ascii="宋体" w:hAnsi="宋体" w:cs="宋体"/>
                <w:b/>
                <w:color w:val="auto"/>
                <w:kern w:val="0"/>
                <w:szCs w:val="21"/>
                <w:lang w:eastAsia="zh-CN"/>
              </w:rPr>
              <w:t>铁矿石</w:t>
            </w:r>
          </w:p>
        </w:tc>
        <w:tc>
          <w:tcPr>
            <w:tcW w:w="6410" w:type="dxa"/>
            <w:tcBorders>
              <w:top w:val="single" w:color="000000" w:sz="4" w:space="0"/>
              <w:left w:val="single" w:color="000000" w:sz="4" w:space="0"/>
              <w:bottom w:val="single" w:color="000000" w:sz="4" w:space="0"/>
              <w:right w:val="nil"/>
            </w:tcBorders>
          </w:tcPr>
          <w:p>
            <w:pPr>
              <w:widowControl/>
              <w:suppressAutoHyphens w:val="0"/>
              <w:jc w:val="left"/>
              <w:rPr>
                <w:rFonts w:hint="eastAsia"/>
                <w:color w:val="auto"/>
                <w:lang w:val="en-US" w:eastAsia="zh-CN"/>
              </w:rPr>
            </w:pPr>
            <w:r>
              <w:rPr>
                <w:rFonts w:hint="eastAsia"/>
                <w:color w:val="auto"/>
                <w:lang w:val="en-US" w:eastAsia="zh-CN"/>
              </w:rPr>
              <w:t xml:space="preserve">   昨日进口铁矿港口现货全天价格下跌20-33。现青岛港PB粉779跌30，超特粉673跌22；曹妃甸港PB粉790跌33，超特粉678跌29；天津港PB粉805跌31，超特粉685跌20；江阴港PB粉809跌20，超特粉695跌23；鲅鱼圈港PB粉818跌28；防城港港PB粉790。</w:t>
            </w:r>
          </w:p>
          <w:p>
            <w:pPr>
              <w:widowControl/>
              <w:suppressAutoHyphens w:val="0"/>
              <w:jc w:val="left"/>
              <w:rPr>
                <w:rFonts w:hint="eastAsia"/>
                <w:color w:val="auto"/>
                <w:lang w:val="en-US" w:eastAsia="zh-CN"/>
              </w:rPr>
            </w:pPr>
            <w:r>
              <w:rPr>
                <w:rFonts w:hint="eastAsia"/>
                <w:color w:val="auto"/>
                <w:lang w:val="en-US" w:eastAsia="zh-CN"/>
              </w:rPr>
              <w:t xml:space="preserve">      据Mysteel不完全统计，6月15日至7月4日，全国样本企业共有34座在检高炉、累计容积39000m³，铁水日产量减少10.33万吨；共有22座在检电炉、粗钢日产量减少5.56万吨；共有38条在检轧线、累计影响成材日产量7.72万吨。</w:t>
            </w:r>
          </w:p>
          <w:p>
            <w:pPr>
              <w:widowControl/>
              <w:suppressAutoHyphens w:val="0"/>
              <w:jc w:val="left"/>
              <w:rPr>
                <w:rFonts w:hint="eastAsia"/>
                <w:color w:val="auto"/>
                <w:lang w:val="en-US" w:eastAsia="zh-CN"/>
              </w:rPr>
            </w:pPr>
            <w:r>
              <w:rPr>
                <w:rFonts w:hint="eastAsia"/>
                <w:color w:val="auto"/>
                <w:lang w:val="en-US" w:eastAsia="zh-CN"/>
              </w:rPr>
              <w:t xml:space="preserve">      6月全球制造业PMI指数为52.3，较上月下降了0.1个百分点；美国ISM制造业PMI由上月的56.1下降3.1个点至53，低于54.5的市场预期；欧元区PMI终值为52.1，预期52，前值52；英国PMI为52.8，为2020年6月以来新低。新兴国家读数出现分化，PMI指数升至51.7，时隔三个月再次站上荣枯线。</w:t>
            </w:r>
          </w:p>
          <w:p>
            <w:pPr>
              <w:widowControl/>
              <w:suppressAutoHyphens w:val="0"/>
              <w:jc w:val="left"/>
              <w:rPr>
                <w:rFonts w:hint="default" w:eastAsia="宋体"/>
                <w:color w:val="auto"/>
                <w:lang w:val="en-US" w:eastAsia="zh-CN"/>
              </w:rPr>
            </w:pPr>
            <w:r>
              <w:rPr>
                <w:rFonts w:hint="eastAsia"/>
                <w:color w:val="auto"/>
                <w:lang w:val="en-US" w:eastAsia="zh-CN"/>
              </w:rPr>
              <w:t xml:space="preserve">       近期市场终端需求改善有限，钢铁利润低位甚至亏损，压制原料价格的反弹空间，而粗钢压减政策下，下半年生铁产量仍有较大的下行空间，海内外供应端逐步释放，铁矿石市场供需趋于宽松，港口库存或将在7月份见到拐点。</w:t>
            </w:r>
          </w:p>
        </w:tc>
        <w:tc>
          <w:tcPr>
            <w:tcW w:w="2050" w:type="dxa"/>
            <w:tcBorders>
              <w:top w:val="single" w:color="000000" w:sz="4" w:space="0"/>
              <w:left w:val="single" w:color="000000" w:sz="4" w:space="0"/>
              <w:bottom w:val="single" w:color="000000" w:sz="4" w:space="0"/>
              <w:right w:val="single" w:color="000000" w:sz="4" w:space="0"/>
            </w:tcBorders>
          </w:tcPr>
          <w:p>
            <w:pPr>
              <w:rPr>
                <w:rFonts w:hint="eastAsia"/>
                <w:b/>
                <w:color w:val="auto"/>
                <w:lang w:eastAsia="zh-CN"/>
              </w:rPr>
            </w:pPr>
            <w:r>
              <w:rPr>
                <w:rFonts w:hint="eastAsia"/>
                <w:b/>
                <w:color w:val="auto"/>
                <w:lang w:eastAsia="zh-CN"/>
              </w:rPr>
              <w:t>短线震荡偏弱运行，短线或波段操作；中期供需格局逐渐宽松，保持逢反弹沽空的思路。</w:t>
            </w:r>
          </w:p>
          <w:p>
            <w:pPr>
              <w:rPr>
                <w:rFonts w:hint="eastAsia"/>
                <w:b/>
                <w:color w:val="auto"/>
                <w:lang w:eastAsia="zh-CN"/>
              </w:rPr>
            </w:pPr>
          </w:p>
          <w:p>
            <w:pPr>
              <w:rPr>
                <w:rFonts w:hint="eastAsia"/>
                <w:b/>
                <w:color w:val="auto"/>
                <w:lang w:eastAsia="zh-CN"/>
              </w:rPr>
            </w:pPr>
            <w:r>
              <w:rPr>
                <w:rFonts w:hint="eastAsia"/>
                <w:b/>
                <w:color w:val="auto"/>
                <w:lang w:eastAsia="zh-CN"/>
              </w:rPr>
              <w:t>(杨俊林)</w:t>
            </w:r>
          </w:p>
          <w:p>
            <w:pPr>
              <w:rPr>
                <w:rFonts w:hint="eastAsia"/>
                <w:b/>
                <w:color w:val="auto"/>
                <w:lang w:eastAsia="zh-CN"/>
              </w:rPr>
            </w:pPr>
          </w:p>
        </w:tc>
      </w:tr>
      <w:tr>
        <w:tblPrEx>
          <w:tblCellMar>
            <w:top w:w="0" w:type="dxa"/>
            <w:left w:w="108" w:type="dxa"/>
            <w:bottom w:w="0" w:type="dxa"/>
            <w:right w:w="108" w:type="dxa"/>
          </w:tblCellMar>
        </w:tblPrEx>
        <w:trPr>
          <w:cantSplit/>
          <w:trHeight w:val="4895" w:hRule="atLeast"/>
        </w:trPr>
        <w:tc>
          <w:tcPr>
            <w:tcW w:w="534" w:type="dxa"/>
            <w:tcBorders>
              <w:top w:val="single" w:color="000000" w:sz="4" w:space="0"/>
              <w:left w:val="single" w:color="000000" w:sz="4" w:space="0"/>
              <w:bottom w:val="single" w:color="000000" w:sz="4" w:space="0"/>
              <w:right w:val="nil"/>
            </w:tcBorders>
          </w:tcPr>
          <w:p>
            <w:pPr>
              <w:widowControl/>
              <w:jc w:val="left"/>
              <w:rPr>
                <w:rFonts w:ascii="宋体" w:hAnsi="宋体" w:cs="宋体"/>
                <w:b/>
                <w:color w:val="auto"/>
                <w:kern w:val="0"/>
                <w:szCs w:val="21"/>
                <w:lang w:eastAsia="zh-CN"/>
              </w:rPr>
            </w:pPr>
            <w:r>
              <w:rPr>
                <w:rFonts w:hint="eastAsia" w:ascii="宋体" w:hAnsi="宋体" w:cs="宋体"/>
                <w:b/>
                <w:color w:val="auto"/>
                <w:kern w:val="0"/>
                <w:szCs w:val="21"/>
                <w:lang w:eastAsia="zh-CN"/>
              </w:rPr>
              <w:t>煤焦</w:t>
            </w:r>
          </w:p>
        </w:tc>
        <w:tc>
          <w:tcPr>
            <w:tcW w:w="6410" w:type="dxa"/>
            <w:tcBorders>
              <w:top w:val="single" w:color="000000" w:sz="4" w:space="0"/>
              <w:left w:val="single" w:color="000000" w:sz="4" w:space="0"/>
              <w:bottom w:val="single" w:color="000000" w:sz="4" w:space="0"/>
              <w:right w:val="nil"/>
            </w:tcBorders>
          </w:tcPr>
          <w:p>
            <w:pPr>
              <w:widowControl/>
              <w:suppressAutoHyphens w:val="0"/>
              <w:ind w:firstLine="630" w:firstLineChars="300"/>
              <w:jc w:val="left"/>
              <w:rPr>
                <w:rFonts w:hint="eastAsia"/>
                <w:color w:val="auto"/>
              </w:rPr>
            </w:pPr>
            <w:r>
              <w:rPr>
                <w:rFonts w:hint="eastAsia"/>
                <w:color w:val="auto"/>
              </w:rPr>
              <w:t>现货市场，双焦价格弱稳运行。山西介休1.3硫主焦2550元/吨（+50），蒙5金泉提货价2300元/吨，加拿大主焦到港价430美元/吨；吕梁准一出厂价2950元/吨，唐山二级焦到厂价3050元/吨，青岛港准一焦平仓价3200元/吨。</w:t>
            </w:r>
          </w:p>
          <w:p>
            <w:pPr>
              <w:widowControl/>
              <w:suppressAutoHyphens w:val="0"/>
              <w:ind w:firstLine="630" w:firstLineChars="300"/>
              <w:jc w:val="left"/>
              <w:rPr>
                <w:rFonts w:hint="eastAsia"/>
                <w:color w:val="auto"/>
              </w:rPr>
            </w:pPr>
            <w:r>
              <w:rPr>
                <w:rFonts w:hint="eastAsia"/>
                <w:color w:val="auto"/>
              </w:rPr>
              <w:t>各地产销，煤矿新增订单较少，多以前期合同为主；焦企开工意愿较低，保持一定程度的限产，限产幅度15%-40%不等，整体场内库存低位运行，河北某钢厂再次跟进提出下调第二轮焦价，市场情绪偏弱；钢厂方面，钢厂高炉开工一般，焦炭库存多在偏低水平，部分低库存钢厂有一定补库行为，钢材成品价格再次回落，钢焦博弈继续。</w:t>
            </w:r>
          </w:p>
          <w:p>
            <w:pPr>
              <w:widowControl/>
              <w:suppressAutoHyphens w:val="0"/>
              <w:ind w:firstLine="630" w:firstLineChars="300"/>
              <w:jc w:val="left"/>
              <w:rPr>
                <w:rFonts w:hint="eastAsia" w:eastAsia="宋体"/>
                <w:color w:val="auto"/>
                <w:lang w:val="en-US" w:eastAsia="zh-CN"/>
              </w:rPr>
            </w:pPr>
            <w:r>
              <w:rPr>
                <w:rFonts w:hint="eastAsia"/>
                <w:color w:val="auto"/>
              </w:rPr>
              <w:t>受近期疫情散发影响，需求预期相对削弱，黑色市场负反馈的压力仍在，钢价下行使得双焦现货仍面临下调压力。不过国内焦煤挺价意愿较强，且盘面低点再次大幅贴水现货，短期利空有一定消化，同时上周成材表需有一定回升，关注其持续性。</w:t>
            </w:r>
          </w:p>
        </w:tc>
        <w:tc>
          <w:tcPr>
            <w:tcW w:w="2050" w:type="dxa"/>
            <w:tcBorders>
              <w:top w:val="single" w:color="000000" w:sz="4" w:space="0"/>
              <w:left w:val="single" w:color="000000" w:sz="4" w:space="0"/>
              <w:bottom w:val="single" w:color="000000" w:sz="4" w:space="0"/>
              <w:right w:val="single" w:color="000000" w:sz="4" w:space="0"/>
            </w:tcBorders>
          </w:tcPr>
          <w:p>
            <w:pPr>
              <w:rPr>
                <w:rFonts w:hint="eastAsia"/>
                <w:b/>
                <w:color w:val="auto"/>
                <w:lang w:eastAsia="zh-CN"/>
              </w:rPr>
            </w:pPr>
            <w:r>
              <w:rPr>
                <w:rFonts w:hint="eastAsia"/>
                <w:b/>
                <w:color w:val="auto"/>
                <w:lang w:eastAsia="zh-CN"/>
              </w:rPr>
              <w:t>结合盘面，短线下挫后，反抽力量也较强，观望为主。</w:t>
            </w:r>
          </w:p>
          <w:p>
            <w:pPr>
              <w:rPr>
                <w:rFonts w:hint="eastAsia"/>
                <w:b/>
                <w:color w:val="auto"/>
                <w:lang w:eastAsia="zh-CN"/>
              </w:rPr>
            </w:pPr>
          </w:p>
          <w:p>
            <w:pPr>
              <w:rPr>
                <w:b/>
                <w:color w:val="auto"/>
                <w:lang w:eastAsia="zh-CN"/>
              </w:rPr>
            </w:pPr>
            <w:r>
              <w:rPr>
                <w:rFonts w:hint="eastAsia"/>
                <w:b/>
                <w:color w:val="auto"/>
                <w:lang w:eastAsia="zh-CN"/>
              </w:rPr>
              <w:t>（</w:t>
            </w:r>
            <w:r>
              <w:rPr>
                <w:rFonts w:hint="eastAsia"/>
                <w:b/>
                <w:color w:val="auto"/>
                <w:lang w:eastAsia="zh-CN"/>
              </w:rPr>
              <w:t>李岩</w:t>
            </w:r>
            <w:r>
              <w:rPr>
                <w:rFonts w:hint="eastAsia"/>
                <w:b/>
                <w:color w:val="auto"/>
                <w:lang w:eastAsia="zh-CN"/>
              </w:rPr>
              <w:t>）</w:t>
            </w:r>
          </w:p>
        </w:tc>
      </w:tr>
      <w:tr>
        <w:tblPrEx>
          <w:tblCellMar>
            <w:top w:w="0" w:type="dxa"/>
            <w:left w:w="108" w:type="dxa"/>
            <w:bottom w:w="0" w:type="dxa"/>
            <w:right w:w="108" w:type="dxa"/>
          </w:tblCellMar>
        </w:tblPrEx>
        <w:trPr>
          <w:cantSplit/>
          <w:trHeight w:val="934" w:hRule="atLeast"/>
        </w:trPr>
        <w:tc>
          <w:tcPr>
            <w:tcW w:w="534" w:type="dxa"/>
            <w:tcBorders>
              <w:top w:val="single" w:color="000000" w:sz="4" w:space="0"/>
              <w:left w:val="single" w:color="000000" w:sz="4" w:space="0"/>
              <w:bottom w:val="single" w:color="000000" w:sz="4" w:space="0"/>
              <w:right w:val="nil"/>
            </w:tcBorders>
          </w:tcPr>
          <w:p>
            <w:pPr>
              <w:widowControl/>
              <w:jc w:val="left"/>
              <w:rPr>
                <w:rFonts w:ascii="宋体" w:hAnsi="宋体" w:cs="宋体"/>
                <w:b/>
                <w:color w:val="auto"/>
                <w:kern w:val="0"/>
                <w:szCs w:val="21"/>
                <w:lang w:eastAsia="zh-CN"/>
              </w:rPr>
            </w:pPr>
            <w:r>
              <w:rPr>
                <w:rFonts w:hint="eastAsia" w:ascii="宋体" w:hAnsi="宋体" w:cs="宋体"/>
                <w:b/>
                <w:color w:val="auto"/>
                <w:kern w:val="0"/>
                <w:szCs w:val="21"/>
                <w:lang w:eastAsia="zh-CN"/>
              </w:rPr>
              <w:t>铝</w:t>
            </w:r>
          </w:p>
        </w:tc>
        <w:tc>
          <w:tcPr>
            <w:tcW w:w="6410" w:type="dxa"/>
            <w:tcBorders>
              <w:top w:val="single" w:color="000000" w:sz="4" w:space="0"/>
              <w:left w:val="single" w:color="000000" w:sz="4" w:space="0"/>
              <w:bottom w:val="single" w:color="000000" w:sz="4" w:space="0"/>
              <w:right w:val="nil"/>
            </w:tcBorders>
          </w:tcPr>
          <w:p>
            <w:pPr>
              <w:widowControl/>
              <w:suppressAutoHyphens w:val="0"/>
              <w:ind w:firstLine="630" w:firstLineChars="300"/>
              <w:jc w:val="left"/>
              <w:rPr>
                <w:rFonts w:hint="eastAsia"/>
                <w:color w:val="auto"/>
                <w:lang w:val="en-US" w:eastAsia="zh-CN"/>
              </w:rPr>
            </w:pPr>
            <w:r>
              <w:rPr>
                <w:rFonts w:hint="eastAsia"/>
                <w:color w:val="auto"/>
                <w:lang w:val="en-US" w:eastAsia="zh-CN"/>
              </w:rPr>
              <w:t>昨日沪铝偏强震荡，沪铝主力月2208合约收至18980元/吨，涨15元，涨幅0.08%。现货方面，4日长江现货成交价格19160-19200元/吨，涨120元，贴水45-贴水5；广东现货19140-19200元/吨，涨160元，贴水65-贴水5；华通报19200-19240元/吨，涨120元。持货商看涨出货积极性提高，接货方仍以压价采购为主，整体交投活跃度表现一般，大户收货积极性一般，成交表现较为温和。</w:t>
            </w:r>
          </w:p>
          <w:p>
            <w:pPr>
              <w:widowControl/>
              <w:suppressAutoHyphens w:val="0"/>
              <w:ind w:firstLine="630" w:firstLineChars="300"/>
              <w:jc w:val="left"/>
              <w:rPr>
                <w:rFonts w:hint="eastAsia"/>
                <w:color w:val="auto"/>
                <w:lang w:val="en-US" w:eastAsia="zh-CN"/>
              </w:rPr>
            </w:pPr>
            <w:r>
              <w:rPr>
                <w:rFonts w:hint="eastAsia"/>
                <w:color w:val="auto"/>
                <w:lang w:val="en-US" w:eastAsia="zh-CN"/>
              </w:rPr>
              <w:t>4日，SMM统计国内电解铝社会库存73.4万吨，较上周四库存持稳，上周去库幅度逐渐放缓之后，本周库存已停止去库。其中分地区看，除无锡地区在小幅下降外，佛山，巩义地区均已出现累库趋势，且巩义地区已连续累库4周。</w:t>
            </w:r>
          </w:p>
          <w:p>
            <w:pPr>
              <w:widowControl/>
              <w:suppressAutoHyphens w:val="0"/>
              <w:ind w:firstLine="630" w:firstLineChars="300"/>
              <w:jc w:val="left"/>
              <w:rPr>
                <w:color w:val="auto"/>
              </w:rPr>
            </w:pPr>
            <w:r>
              <w:rPr>
                <w:rFonts w:hint="eastAsia"/>
                <w:color w:val="auto"/>
                <w:lang w:val="en-US" w:eastAsia="zh-CN"/>
              </w:rPr>
              <w:t>俄欧关系持续恶化，欧洲天然气价格飙升，欧洲铝企减产忧虑升温。国内运行产能稳步抬升，部分产能出现亏损，产量继续释放。国内防疫政策逐步宽松，但下游需求仍无明显好转，终端地产持续低迷继续拖累铝价。宏观情绪偏空，且临近需求淡季，下行压力仍压制铝价。</w:t>
            </w:r>
          </w:p>
        </w:tc>
        <w:tc>
          <w:tcPr>
            <w:tcW w:w="2050" w:type="dxa"/>
            <w:tcBorders>
              <w:top w:val="single" w:color="000000" w:sz="4" w:space="0"/>
              <w:left w:val="single" w:color="000000" w:sz="4" w:space="0"/>
              <w:bottom w:val="single" w:color="000000" w:sz="4" w:space="0"/>
              <w:right w:val="single" w:color="000000" w:sz="4" w:space="0"/>
            </w:tcBorders>
          </w:tcPr>
          <w:p>
            <w:pPr>
              <w:rPr>
                <w:rFonts w:hint="eastAsia"/>
                <w:b/>
                <w:color w:val="auto"/>
                <w:lang w:eastAsia="zh-CN"/>
              </w:rPr>
            </w:pPr>
            <w:r>
              <w:rPr>
                <w:rFonts w:hint="eastAsia"/>
                <w:b/>
                <w:color w:val="auto"/>
                <w:lang w:eastAsia="zh-CN"/>
              </w:rPr>
              <w:t>操作上观望或震荡思路对待，关注下游消费兑现情况。</w:t>
            </w:r>
          </w:p>
          <w:p>
            <w:pPr>
              <w:rPr>
                <w:rFonts w:hint="eastAsia"/>
                <w:b/>
                <w:color w:val="auto"/>
                <w:lang w:eastAsia="zh-CN"/>
              </w:rPr>
            </w:pPr>
          </w:p>
          <w:p>
            <w:pPr>
              <w:rPr>
                <w:b/>
                <w:color w:val="auto"/>
                <w:lang w:eastAsia="zh-CN"/>
              </w:rPr>
            </w:pPr>
            <w:r>
              <w:rPr>
                <w:rFonts w:hint="eastAsia"/>
                <w:b/>
                <w:color w:val="auto"/>
                <w:lang w:eastAsia="zh-CN"/>
              </w:rPr>
              <w:t>（有色组）</w:t>
            </w:r>
          </w:p>
        </w:tc>
      </w:tr>
      <w:tr>
        <w:tblPrEx>
          <w:tblCellMar>
            <w:top w:w="0" w:type="dxa"/>
            <w:left w:w="108" w:type="dxa"/>
            <w:bottom w:w="0" w:type="dxa"/>
            <w:right w:w="108" w:type="dxa"/>
          </w:tblCellMar>
        </w:tblPrEx>
        <w:trPr>
          <w:cantSplit/>
          <w:trHeight w:val="6771" w:hRule="atLeast"/>
        </w:trPr>
        <w:tc>
          <w:tcPr>
            <w:tcW w:w="534" w:type="dxa"/>
            <w:tcBorders>
              <w:top w:val="single" w:color="000000" w:sz="4" w:space="0"/>
              <w:left w:val="single" w:color="000000" w:sz="4" w:space="0"/>
              <w:bottom w:val="single" w:color="000000" w:sz="4" w:space="0"/>
              <w:right w:val="nil"/>
            </w:tcBorders>
            <w:vAlign w:val="top"/>
          </w:tcPr>
          <w:p>
            <w:pPr>
              <w:widowControl/>
              <w:jc w:val="left"/>
              <w:rPr>
                <w:rFonts w:ascii="宋体" w:hAnsi="宋体" w:cs="宋体"/>
                <w:b/>
                <w:color w:val="auto"/>
                <w:kern w:val="0"/>
                <w:szCs w:val="21"/>
                <w:lang w:eastAsia="zh-CN"/>
              </w:rPr>
            </w:pPr>
            <w:r>
              <w:rPr>
                <w:rFonts w:hint="eastAsia" w:ascii="宋体" w:hAnsi="宋体" w:cs="宋体"/>
                <w:b/>
                <w:color w:val="auto"/>
                <w:kern w:val="0"/>
                <w:szCs w:val="21"/>
                <w:lang w:eastAsia="zh-CN"/>
              </w:rPr>
              <w:t>天胶</w:t>
            </w:r>
          </w:p>
        </w:tc>
        <w:tc>
          <w:tcPr>
            <w:tcW w:w="6410" w:type="dxa"/>
            <w:tcBorders>
              <w:top w:val="single" w:color="000000" w:sz="4" w:space="0"/>
              <w:left w:val="single" w:color="000000" w:sz="4" w:space="0"/>
              <w:bottom w:val="single" w:color="000000" w:sz="4" w:space="0"/>
              <w:right w:val="nil"/>
            </w:tcBorders>
            <w:vAlign w:val="top"/>
          </w:tcPr>
          <w:p>
            <w:pPr>
              <w:widowControl/>
              <w:suppressAutoHyphens w:val="0"/>
              <w:ind w:firstLine="630" w:firstLineChars="300"/>
              <w:jc w:val="left"/>
              <w:rPr>
                <w:rFonts w:hint="eastAsia"/>
                <w:color w:val="auto"/>
              </w:rPr>
            </w:pPr>
            <w:r>
              <w:rPr>
                <w:rFonts w:hint="eastAsia"/>
                <w:color w:val="auto"/>
              </w:rPr>
              <w:t>近两日原油价格低位暂稳，大宗商品市场整体情绪阶段性企稳，国内大宗工业品期货指数昨日下探小幅回升，短期存在反弹可能，整体依旧承压，而RU与整体大宗工业品之间继续体现出强弱交替的关系。行业方面，昨日泰国原料价格暂稳，国内海南产区逐渐上量，进浓乳厂胶水价格持稳于13700元/吨,进全乳胶厂价格持稳11500元/吨，依旧大幅低于制浓乳，抑制全乳产出。版纳区域天气良好，原料产出稍微增加，昨日收购价格略微上涨，进浓乳厂价格12300元/吨(+100)，进干胶厂价格12100元/吨（+100）。20年国营全乳胶成交参考RU09贴水200元/吨附近，上海3L成交参考12500-12850元/吨附近。月初轮胎市场交投冷清，更多代理商持观望态势，补货意愿不强。</w:t>
            </w:r>
          </w:p>
          <w:p>
            <w:pPr>
              <w:widowControl/>
              <w:suppressAutoHyphens w:val="0"/>
              <w:ind w:firstLine="630" w:firstLineChars="300"/>
              <w:jc w:val="left"/>
              <w:rPr>
                <w:rFonts w:hint="eastAsia"/>
                <w:color w:val="auto"/>
              </w:rPr>
            </w:pPr>
            <w:r>
              <w:rPr>
                <w:rFonts w:hint="eastAsia"/>
                <w:color w:val="auto"/>
              </w:rPr>
              <w:t>技术面：昨日RU2209冲高回落，夜盘勉强收回13000关口，反弹遭遇较明显阻力，后市多空展开拉锯的可能较大，下方支撑在12900附近，上方压力在13200附近。</w:t>
            </w:r>
          </w:p>
          <w:p>
            <w:pPr>
              <w:widowControl/>
              <w:suppressAutoHyphens w:val="0"/>
              <w:ind w:firstLine="630" w:firstLineChars="300"/>
              <w:jc w:val="left"/>
              <w:rPr>
                <w:rFonts w:hint="eastAsia" w:eastAsia="宋体"/>
                <w:color w:val="auto"/>
                <w:lang w:eastAsia="zh-CN"/>
              </w:rPr>
            </w:pPr>
          </w:p>
        </w:tc>
        <w:tc>
          <w:tcPr>
            <w:tcW w:w="2050" w:type="dxa"/>
            <w:tcBorders>
              <w:top w:val="single" w:color="000000" w:sz="4" w:space="0"/>
              <w:left w:val="single" w:color="000000" w:sz="4" w:space="0"/>
              <w:bottom w:val="single" w:color="000000" w:sz="4" w:space="0"/>
              <w:right w:val="single" w:color="000000" w:sz="4" w:space="0"/>
            </w:tcBorders>
            <w:vAlign w:val="top"/>
          </w:tcPr>
          <w:p>
            <w:pPr>
              <w:rPr>
                <w:rFonts w:hint="eastAsia"/>
                <w:b/>
                <w:color w:val="auto"/>
                <w:lang w:eastAsia="zh-CN"/>
              </w:rPr>
            </w:pPr>
            <w:r>
              <w:rPr>
                <w:rFonts w:hint="eastAsia"/>
                <w:b/>
                <w:color w:val="auto"/>
                <w:lang w:eastAsia="zh-CN"/>
              </w:rPr>
              <w:t>操作建议：轻仓波段交易，区间震荡思路。</w:t>
            </w:r>
          </w:p>
          <w:p>
            <w:pPr>
              <w:rPr>
                <w:rFonts w:hint="eastAsia"/>
                <w:b/>
                <w:color w:val="auto"/>
                <w:lang w:eastAsia="zh-CN"/>
              </w:rPr>
            </w:pPr>
          </w:p>
          <w:p>
            <w:pPr>
              <w:rPr>
                <w:b/>
                <w:color w:val="auto"/>
                <w:lang w:eastAsia="zh-CN"/>
              </w:rPr>
            </w:pPr>
            <w:r>
              <w:rPr>
                <w:rFonts w:hint="eastAsia"/>
                <w:b/>
                <w:color w:val="auto"/>
                <w:lang w:eastAsia="zh-CN"/>
              </w:rPr>
              <w:t>（</w:t>
            </w:r>
            <w:r>
              <w:rPr>
                <w:rFonts w:hint="eastAsia"/>
                <w:b/>
                <w:color w:val="auto"/>
                <w:lang w:eastAsia="zh-CN"/>
              </w:rPr>
              <w:t>王海峰）</w:t>
            </w:r>
          </w:p>
        </w:tc>
      </w:tr>
      <w:tr>
        <w:tblPrEx>
          <w:tblCellMar>
            <w:top w:w="0" w:type="dxa"/>
            <w:left w:w="108" w:type="dxa"/>
            <w:bottom w:w="0" w:type="dxa"/>
            <w:right w:w="108" w:type="dxa"/>
          </w:tblCellMar>
        </w:tblPrEx>
        <w:trPr>
          <w:cantSplit/>
          <w:trHeight w:val="1287" w:hRule="atLeast"/>
        </w:trPr>
        <w:tc>
          <w:tcPr>
            <w:tcW w:w="534" w:type="dxa"/>
            <w:tcBorders>
              <w:top w:val="single" w:color="000000" w:sz="4" w:space="0"/>
              <w:left w:val="single" w:color="000000" w:sz="4" w:space="0"/>
              <w:bottom w:val="single" w:color="000000" w:sz="4" w:space="0"/>
              <w:right w:val="nil"/>
            </w:tcBorders>
            <w:vAlign w:val="top"/>
          </w:tcPr>
          <w:p>
            <w:pPr>
              <w:widowControl/>
              <w:jc w:val="left"/>
              <w:rPr>
                <w:rFonts w:hint="default" w:ascii="宋体" w:hAnsi="宋体" w:eastAsia="宋体" w:cs="宋体"/>
                <w:b/>
                <w:color w:val="auto"/>
                <w:kern w:val="0"/>
                <w:sz w:val="21"/>
                <w:szCs w:val="21"/>
                <w:lang w:val="en-US" w:eastAsia="zh-CN" w:bidi="ar-SA"/>
              </w:rPr>
            </w:pPr>
            <w:r>
              <w:rPr>
                <w:rFonts w:hint="eastAsia" w:ascii="宋体" w:hAnsi="宋体" w:cs="宋体"/>
                <w:b/>
                <w:color w:val="auto"/>
                <w:kern w:val="0"/>
                <w:sz w:val="21"/>
                <w:szCs w:val="21"/>
                <w:lang w:val="en-US" w:eastAsia="zh-CN" w:bidi="ar-SA"/>
              </w:rPr>
              <w:t>原油</w:t>
            </w:r>
          </w:p>
        </w:tc>
        <w:tc>
          <w:tcPr>
            <w:tcW w:w="6410" w:type="dxa"/>
            <w:tcBorders>
              <w:top w:val="single" w:color="000000" w:sz="4" w:space="0"/>
              <w:left w:val="single" w:color="000000" w:sz="4" w:space="0"/>
              <w:bottom w:val="single" w:color="000000" w:sz="4" w:space="0"/>
              <w:right w:val="nil"/>
            </w:tcBorders>
            <w:vAlign w:val="top"/>
          </w:tcPr>
          <w:p>
            <w:pPr>
              <w:widowControl/>
              <w:suppressAutoHyphens w:val="0"/>
              <w:ind w:firstLine="630" w:firstLineChars="300"/>
              <w:jc w:val="left"/>
              <w:rPr>
                <w:rFonts w:hint="eastAsia"/>
                <w:color w:val="auto"/>
              </w:rPr>
            </w:pPr>
            <w:r>
              <w:rPr>
                <w:rFonts w:hint="eastAsia"/>
                <w:color w:val="auto"/>
              </w:rPr>
              <w:t>由于罢工行动升级，到本周末，挪威约20%的天然气产量可能会被关闭。挪威是欧洲最大的天然气生产国，2021年的产量约为3.128亿立方米/天。截至2022年4月中国原油加工量为5181万吨，同比下降10.5%，降幅比上月扩大8.5个百分点，日均加工172.7万吨。累计方面，2022年1-4月中国原油累计加工量达到22325.2万吨，累计下降3.8%。石油进口费用大幅上涨，巴基斯坦考虑俄罗斯原油进口，寻求炼油商的意见。伊朗准备提高原油产量，因为市场可能在未来几个月面临短缺。能源咨询机构伍德麦肯兹：预计第三季度布伦特原油均价在117美元/桶，第四季度面临下行压力，但在2023年前都将呈现高位波动。OPEC+已同意继续将8月份的原油产量配额增加64.8万桶/天。美国总统拜登准备于7月15日至16日访问沙特，与海湾领导人举行峰会。美国西海岸的港口和码头工人表示，他们将错过7月1日签署劳工协议的最后期限，使化工公司面临更多供应链问题的风险。美国监管机构希望自由港LNG采取纠正措施并寻求批准，然后再恢复德州出口设施的正常运营，该设施自6月8日爆炸和火灾以来一直关闭。6月29日，财政部、发改委发布《关于做好国际油价触及调控上限后实施阶段性价格补贴有关工作的通知》明确，当国际油价高于130美元每桶时，国内成品油价格阶段性不再上调，同时还将对炼油企业实行阶段性价格补贴。中国商务部已于2022年第二批向35家符合条件的独立和非国有炼油厂批准了5256万吨原油进口配额，2021年同批3522万吨。</w:t>
            </w:r>
          </w:p>
          <w:p>
            <w:pPr>
              <w:widowControl/>
              <w:suppressAutoHyphens w:val="0"/>
              <w:ind w:firstLine="630" w:firstLineChars="300"/>
              <w:jc w:val="left"/>
              <w:rPr>
                <w:rFonts w:hint="eastAsia" w:ascii="Times New Roman" w:hAnsi="Times New Roman" w:eastAsia="宋体" w:cs="Times New Roman"/>
                <w:color w:val="auto"/>
                <w:kern w:val="2"/>
                <w:sz w:val="21"/>
                <w:lang w:val="en-US" w:eastAsia="zh-CN" w:bidi="ar-SA"/>
              </w:rPr>
            </w:pPr>
            <w:r>
              <w:rPr>
                <w:rFonts w:hint="eastAsia"/>
                <w:color w:val="auto"/>
              </w:rPr>
              <w:t>操作建议: 挪威石油工人或将举行罢工，且俄乌冲突无缓和迹象，市场对供应风险忧虑仍在，国际油价上涨。NYMEX原油期货因美国独立日假期休市；ICE布油期货09合约113.50涨1.87美元/桶或1.68%。</w:t>
            </w:r>
          </w:p>
        </w:tc>
        <w:tc>
          <w:tcPr>
            <w:tcW w:w="2050" w:type="dxa"/>
            <w:tcBorders>
              <w:top w:val="single" w:color="000000" w:sz="4" w:space="0"/>
              <w:left w:val="single" w:color="000000" w:sz="4" w:space="0"/>
              <w:bottom w:val="single" w:color="000000" w:sz="4" w:space="0"/>
              <w:right w:val="single" w:color="000000" w:sz="4" w:space="0"/>
            </w:tcBorders>
            <w:vAlign w:val="top"/>
          </w:tcPr>
          <w:p>
            <w:pPr>
              <w:rPr>
                <w:rFonts w:hint="eastAsia"/>
                <w:b/>
                <w:color w:val="auto"/>
                <w:lang w:eastAsia="zh-CN"/>
              </w:rPr>
            </w:pPr>
            <w:r>
              <w:rPr>
                <w:rFonts w:hint="eastAsia"/>
                <w:b/>
                <w:color w:val="auto"/>
                <w:lang w:eastAsia="zh-CN"/>
              </w:rPr>
              <w:t>操作思路以短期高位震荡偏空为主，关注布伦特原油震荡区间105-115美元/桶，注意止盈止损。</w:t>
            </w:r>
          </w:p>
          <w:p>
            <w:pPr>
              <w:rPr>
                <w:rFonts w:hint="eastAsia"/>
                <w:b/>
                <w:color w:val="auto"/>
                <w:lang w:eastAsia="zh-CN"/>
              </w:rPr>
            </w:pPr>
          </w:p>
          <w:p>
            <w:pPr>
              <w:rPr>
                <w:rFonts w:hint="eastAsia" w:ascii="Times New Roman" w:hAnsi="Times New Roman" w:eastAsia="宋体" w:cs="Times New Roman"/>
                <w:b/>
                <w:color w:val="auto"/>
                <w:kern w:val="2"/>
                <w:sz w:val="21"/>
                <w:lang w:val="en-US" w:eastAsia="zh-CN" w:bidi="ar-SA"/>
              </w:rPr>
            </w:pPr>
            <w:r>
              <w:rPr>
                <w:rFonts w:hint="eastAsia"/>
                <w:b/>
                <w:color w:val="auto"/>
                <w:lang w:eastAsia="zh-CN"/>
              </w:rPr>
              <w:t>（</w:t>
            </w:r>
            <w:r>
              <w:rPr>
                <w:rFonts w:hint="eastAsia"/>
                <w:b/>
                <w:color w:val="auto"/>
                <w:lang w:val="en-US" w:eastAsia="zh-CN"/>
              </w:rPr>
              <w:t>黄世</w:t>
            </w:r>
            <w:r>
              <w:rPr>
                <w:rFonts w:hint="eastAsia"/>
                <w:b/>
                <w:color w:val="auto"/>
                <w:lang w:val="en-US" w:eastAsia="zh-CN"/>
              </w:rPr>
              <w:t>俊</w:t>
            </w:r>
            <w:r>
              <w:rPr>
                <w:rFonts w:hint="eastAsia"/>
                <w:b/>
                <w:color w:val="auto"/>
                <w:lang w:eastAsia="zh-CN"/>
              </w:rPr>
              <w:t>）</w:t>
            </w:r>
          </w:p>
        </w:tc>
      </w:tr>
    </w:tbl>
    <w:p>
      <w:pPr>
        <w:widowControl/>
        <w:jc w:val="left"/>
        <w:rPr>
          <w:rFonts w:ascii="黑体" w:eastAsia="黑体" w:cs="宋体"/>
          <w:color w:val="auto"/>
          <w:szCs w:val="21"/>
        </w:rPr>
      </w:pPr>
      <w:r>
        <w:rPr>
          <w:rFonts w:hint="eastAsia" w:ascii="黑体" w:eastAsia="黑体" w:cs="宋体"/>
          <w:color w:val="auto"/>
          <w:szCs w:val="21"/>
        </w:rPr>
        <w:t>本报告中的信息均来源于公开资料，我公司对这些信息的准确性和完整性不作任何保证，报告中的内容和意见仅供参考。我公司及员工对使用本报刊及其内容所引发的任何直接或间接损失概不负责。本报刊版权归道通期货所有。</w:t>
      </w:r>
    </w:p>
    <w:p>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pPr>
    <w:r>
      <w:rPr>
        <w:lang w:eastAsia="zh-CN"/>
      </w:rPr>
      <mc:AlternateContent>
        <mc:Choice Requires="wps">
          <w:drawing>
            <wp:anchor distT="0" distB="0" distL="0" distR="0" simplePos="0" relativeHeight="251659264" behindDoc="0" locked="0" layoutInCell="1" allowOverlap="1">
              <wp:simplePos x="0" y="0"/>
              <wp:positionH relativeFrom="page">
                <wp:posOffset>6361430</wp:posOffset>
              </wp:positionH>
              <wp:positionV relativeFrom="paragraph">
                <wp:posOffset>635</wp:posOffset>
              </wp:positionV>
              <wp:extent cx="246380" cy="124460"/>
              <wp:effectExtent l="8255" t="635" r="2540" b="8255"/>
              <wp:wrapSquare wrapText="largest"/>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46380" cy="124460"/>
                      </a:xfrm>
                      <a:prstGeom prst="rect">
                        <a:avLst/>
                      </a:prstGeom>
                      <a:solidFill>
                        <a:srgbClr val="FFFFFF">
                          <a:alpha val="0"/>
                        </a:srgbClr>
                      </a:solidFill>
                      <a:ln>
                        <a:noFill/>
                      </a:ln>
                      <a:effectLst/>
                    </wps:spPr>
                    <wps:txbx>
                      <w:txbxContent>
                        <w:p>
                          <w:pPr>
                            <w:pStyle w:val="2"/>
                          </w:pPr>
                          <w:r>
                            <w:fldChar w:fldCharType="begin"/>
                          </w:r>
                          <w:r>
                            <w:instrText xml:space="preserve"> PAGE </w:instrText>
                          </w:r>
                          <w:r>
                            <w:fldChar w:fldCharType="separate"/>
                          </w:r>
                          <w:r>
                            <w:t>6</w:t>
                          </w:r>
                          <w:r>
                            <w:fldChar w:fldCharType="end"/>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00.9pt;margin-top:0.05pt;height:9.8pt;width:19.4pt;mso-position-horizontal-relative:page;mso-wrap-distance-bottom:0pt;mso-wrap-distance-left:0pt;mso-wrap-distance-right:0pt;mso-wrap-distance-top:0pt;z-index:251659264;mso-width-relative:page;mso-height-relative:page;" fillcolor="#FFFFFF" filled="t" stroked="f" coordsize="21600,21600" o:gfxdata="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LcXJT1AAAAAkBAAAPAAAAAAAAAAEAIAAAACIAAABkcnMvZG93bnJldi54bWxQSwEC&#10;FAAUAAAACACHTuJAExrNKjECAABYBAAADgAAAAAAAAABACAAAAAjAQAAZHJzL2Uyb0RvYy54bWxQ&#10;SwUGAAAAAAYABgBZAQAAxgUAAAAA&#10;">
              <v:fill on="t" opacity="0f" focussize="0,0"/>
              <v:stroke on="f"/>
              <v:imagedata o:title=""/>
              <o:lock v:ext="edit" aspectratio="f"/>
              <v:textbox inset="0mm,0mm,0mm,0mm">
                <w:txbxContent>
                  <w:p>
                    <w:pPr>
                      <w:pStyle w:val="2"/>
                    </w:pPr>
                    <w:r>
                      <w:fldChar w:fldCharType="begin"/>
                    </w:r>
                    <w:r>
                      <w:instrText xml:space="preserve"> PAGE </w:instrText>
                    </w:r>
                    <w:r>
                      <w:fldChar w:fldCharType="separate"/>
                    </w:r>
                    <w:r>
                      <w:t>6</w:t>
                    </w:r>
                    <w:r>
                      <w:fldChar w:fldCharType="end"/>
                    </w:r>
                  </w:p>
                </w:txbxContent>
              </v:textbox>
              <w10:wrap type="square" side="largest"/>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lang w:eastAsia="zh-CN"/>
      </w:rPr>
      <w:drawing>
        <wp:inline distT="0" distB="0" distL="0" distR="0">
          <wp:extent cx="4343400" cy="647700"/>
          <wp:effectExtent l="0" t="0" r="0" b="0"/>
          <wp:docPr id="3" name="图片 3" descr="01413417121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014134171215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4343400" cy="647700"/>
                  </a:xfrm>
                  <a:prstGeom prst="rect">
                    <a:avLst/>
                  </a:prstGeom>
                  <a:solidFill>
                    <a:srgbClr val="FFFFFF"/>
                  </a:solidFill>
                  <a:ln>
                    <a:noFill/>
                  </a:ln>
                  <a:effectLst/>
                </pic:spPr>
              </pic:pic>
            </a:graphicData>
          </a:graphic>
        </wp:inline>
      </w:drawing>
    </w:r>
    <w:r>
      <w:rPr>
        <w:rFonts w:hint="eastAsia"/>
        <w:b/>
        <w:sz w:val="24"/>
      </w:rPr>
      <w:t>研究所</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53E2C"/>
    <w:rsid w:val="000E5154"/>
    <w:rsid w:val="000F371A"/>
    <w:rsid w:val="0012356C"/>
    <w:rsid w:val="001C1FC2"/>
    <w:rsid w:val="001D4A9A"/>
    <w:rsid w:val="00212FE7"/>
    <w:rsid w:val="00293230"/>
    <w:rsid w:val="002C2C71"/>
    <w:rsid w:val="003B7B20"/>
    <w:rsid w:val="00423CD1"/>
    <w:rsid w:val="004C6700"/>
    <w:rsid w:val="004D5BD2"/>
    <w:rsid w:val="004D5EAC"/>
    <w:rsid w:val="004E76CE"/>
    <w:rsid w:val="004F7FFA"/>
    <w:rsid w:val="00525381"/>
    <w:rsid w:val="00533C3E"/>
    <w:rsid w:val="005579C3"/>
    <w:rsid w:val="00577396"/>
    <w:rsid w:val="00592B06"/>
    <w:rsid w:val="00635AE0"/>
    <w:rsid w:val="00642BBB"/>
    <w:rsid w:val="007E13BC"/>
    <w:rsid w:val="00944398"/>
    <w:rsid w:val="00956E05"/>
    <w:rsid w:val="00977AD7"/>
    <w:rsid w:val="009D7439"/>
    <w:rsid w:val="00A2026A"/>
    <w:rsid w:val="00A968EA"/>
    <w:rsid w:val="00AC565B"/>
    <w:rsid w:val="00AF5C20"/>
    <w:rsid w:val="00B5427D"/>
    <w:rsid w:val="00B57BA2"/>
    <w:rsid w:val="00BD402B"/>
    <w:rsid w:val="00C307B2"/>
    <w:rsid w:val="00C37202"/>
    <w:rsid w:val="00C56BD5"/>
    <w:rsid w:val="00CF0B5A"/>
    <w:rsid w:val="00D215DB"/>
    <w:rsid w:val="00D406FC"/>
    <w:rsid w:val="00D711A4"/>
    <w:rsid w:val="00D835F1"/>
    <w:rsid w:val="00DA0DD2"/>
    <w:rsid w:val="00F51399"/>
    <w:rsid w:val="01006B66"/>
    <w:rsid w:val="01A17F68"/>
    <w:rsid w:val="042D0F35"/>
    <w:rsid w:val="057C20A4"/>
    <w:rsid w:val="08D77793"/>
    <w:rsid w:val="093706B3"/>
    <w:rsid w:val="09656767"/>
    <w:rsid w:val="099174FC"/>
    <w:rsid w:val="09E27D0D"/>
    <w:rsid w:val="0A57325E"/>
    <w:rsid w:val="0A624104"/>
    <w:rsid w:val="0B544A92"/>
    <w:rsid w:val="0C12090D"/>
    <w:rsid w:val="0D7A2D36"/>
    <w:rsid w:val="12294B95"/>
    <w:rsid w:val="124F21B0"/>
    <w:rsid w:val="13B23C90"/>
    <w:rsid w:val="14E22F0B"/>
    <w:rsid w:val="16714D70"/>
    <w:rsid w:val="18890622"/>
    <w:rsid w:val="18B11A3E"/>
    <w:rsid w:val="18B21305"/>
    <w:rsid w:val="195C02AF"/>
    <w:rsid w:val="1A8E2066"/>
    <w:rsid w:val="1C955016"/>
    <w:rsid w:val="1CAE3AF0"/>
    <w:rsid w:val="1E9D2B4C"/>
    <w:rsid w:val="1EC70303"/>
    <w:rsid w:val="1F7E29BD"/>
    <w:rsid w:val="1F8072E8"/>
    <w:rsid w:val="20970D76"/>
    <w:rsid w:val="226C1608"/>
    <w:rsid w:val="227E57F8"/>
    <w:rsid w:val="227F224C"/>
    <w:rsid w:val="23C604D1"/>
    <w:rsid w:val="23F270CF"/>
    <w:rsid w:val="245A2629"/>
    <w:rsid w:val="2A7A4984"/>
    <w:rsid w:val="2B252FF2"/>
    <w:rsid w:val="2D8D3BC9"/>
    <w:rsid w:val="2FCC19BF"/>
    <w:rsid w:val="31EC1213"/>
    <w:rsid w:val="321D62B5"/>
    <w:rsid w:val="341F7FC4"/>
    <w:rsid w:val="353D5E3C"/>
    <w:rsid w:val="358935BB"/>
    <w:rsid w:val="36AB3BBE"/>
    <w:rsid w:val="375761BA"/>
    <w:rsid w:val="384D33C8"/>
    <w:rsid w:val="39983F44"/>
    <w:rsid w:val="3CF13880"/>
    <w:rsid w:val="406C6812"/>
    <w:rsid w:val="40A56BD2"/>
    <w:rsid w:val="41A00C7B"/>
    <w:rsid w:val="424E1F35"/>
    <w:rsid w:val="426E1857"/>
    <w:rsid w:val="430419B8"/>
    <w:rsid w:val="43811021"/>
    <w:rsid w:val="442D0F38"/>
    <w:rsid w:val="465F7101"/>
    <w:rsid w:val="49131CBA"/>
    <w:rsid w:val="491A1D27"/>
    <w:rsid w:val="4A29450B"/>
    <w:rsid w:val="4A2A5B0A"/>
    <w:rsid w:val="4B25247A"/>
    <w:rsid w:val="4CDB5F58"/>
    <w:rsid w:val="4D9E7DC0"/>
    <w:rsid w:val="4DA0349C"/>
    <w:rsid w:val="4FCE0CA2"/>
    <w:rsid w:val="4FFF16B7"/>
    <w:rsid w:val="501C1047"/>
    <w:rsid w:val="509328D4"/>
    <w:rsid w:val="5132643B"/>
    <w:rsid w:val="518F71CD"/>
    <w:rsid w:val="526922B9"/>
    <w:rsid w:val="53B809A0"/>
    <w:rsid w:val="5610706B"/>
    <w:rsid w:val="578723B2"/>
    <w:rsid w:val="57D67B07"/>
    <w:rsid w:val="58CF0924"/>
    <w:rsid w:val="5B116A65"/>
    <w:rsid w:val="5B922A05"/>
    <w:rsid w:val="5CDE1F17"/>
    <w:rsid w:val="5FAE7A14"/>
    <w:rsid w:val="60593F12"/>
    <w:rsid w:val="648125BD"/>
    <w:rsid w:val="66714647"/>
    <w:rsid w:val="66CC74E1"/>
    <w:rsid w:val="6E60765C"/>
    <w:rsid w:val="73C8743F"/>
    <w:rsid w:val="76583639"/>
    <w:rsid w:val="7A3D7229"/>
    <w:rsid w:val="7A857A1E"/>
    <w:rsid w:val="7A8C2DBA"/>
    <w:rsid w:val="7B9137A7"/>
    <w:rsid w:val="7C086E1A"/>
    <w:rsid w:val="7DFC7528"/>
    <w:rsid w:val="7E712B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uppressAutoHyphens/>
      <w:jc w:val="both"/>
    </w:pPr>
    <w:rPr>
      <w:rFonts w:ascii="Times New Roman" w:hAnsi="Times New Roman" w:eastAsia="宋体" w:cs="Times New Roman"/>
      <w:kern w:val="2"/>
      <w:sz w:val="21"/>
      <w:lang w:val="en-US" w:eastAsia="ar-SA"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qFormat/>
    <w:uiPriority w:val="0"/>
    <w:pPr>
      <w:tabs>
        <w:tab w:val="center" w:pos="4153"/>
        <w:tab w:val="right" w:pos="8306"/>
      </w:tabs>
      <w:snapToGrid w:val="0"/>
      <w:jc w:val="left"/>
    </w:pPr>
    <w:rPr>
      <w:sz w:val="18"/>
    </w:rPr>
  </w:style>
  <w:style w:type="paragraph" w:styleId="3">
    <w:name w:val="header"/>
    <w:basedOn w:val="1"/>
    <w:link w:val="7"/>
    <w:qFormat/>
    <w:uiPriority w:val="0"/>
    <w:pPr>
      <w:pBdr>
        <w:bottom w:val="single" w:color="000000" w:sz="4" w:space="1"/>
      </w:pBdr>
      <w:tabs>
        <w:tab w:val="center" w:pos="4153"/>
        <w:tab w:val="right" w:pos="8306"/>
      </w:tabs>
      <w:snapToGrid w:val="0"/>
      <w:jc w:val="center"/>
    </w:pPr>
    <w:rPr>
      <w:sz w:val="18"/>
    </w:rPr>
  </w:style>
  <w:style w:type="character" w:customStyle="1" w:styleId="6">
    <w:name w:val="页脚 字符"/>
    <w:basedOn w:val="5"/>
    <w:link w:val="2"/>
    <w:qFormat/>
    <w:uiPriority w:val="0"/>
    <w:rPr>
      <w:rFonts w:ascii="Times New Roman" w:hAnsi="Times New Roman" w:eastAsia="宋体" w:cs="Times New Roman"/>
      <w:sz w:val="18"/>
      <w:szCs w:val="20"/>
      <w:lang w:eastAsia="ar-SA"/>
    </w:rPr>
  </w:style>
  <w:style w:type="character" w:customStyle="1" w:styleId="7">
    <w:name w:val="页眉 字符"/>
    <w:basedOn w:val="5"/>
    <w:link w:val="3"/>
    <w:qFormat/>
    <w:uiPriority w:val="0"/>
    <w:rPr>
      <w:rFonts w:ascii="Times New Roman" w:hAnsi="Times New Roman" w:eastAsia="宋体" w:cs="Times New Roman"/>
      <w:sz w:val="18"/>
      <w:szCs w:val="20"/>
      <w:lang w:eastAsia="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845</Words>
  <Characters>4817</Characters>
  <Lines>40</Lines>
  <Paragraphs>11</Paragraphs>
  <TotalTime>8</TotalTime>
  <ScaleCrop>false</ScaleCrop>
  <LinksUpToDate>false</LinksUpToDate>
  <CharactersWithSpaces>5651</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2021-04-23T15:55:00Z</dcterms:created>
  <dc:creator>admin</dc:creator>
  <cp:lastModifiedBy>admin</cp:lastModifiedBy>
  <dcterms:modified xsi:type="dcterms:W3CDTF">2022-07-05T00:40:47Z</dcterms:modified>
  <cp:revision>72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ICV">
    <vt:lpwstr>241ED9DFB688474D48B653619F6A5D07</vt:lpwstr>
  </property>
</Properties>
</file>